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4" w:name="X37046a4579b2d2121f4e97424fe1fc904f86edd"/>
    <w:p>
      <w:pPr>
        <w:pStyle w:val="Heading1"/>
      </w:pPr>
      <w:r>
        <w:t xml:space="preserve">Howmet Aerospace (HWM) — Q2 2026 Earnings Preview</w:t>
      </w:r>
    </w:p>
    <w:p>
      <w:pPr>
        <w:pStyle w:val="FirstParagraph"/>
      </w:pPr>
      <w:r>
        <w:rPr>
          <w:b/>
          <w:bCs/>
        </w:rPr>
        <w:t xml:space="preserve">Report date:</w:t>
      </w:r>
      <w:r>
        <w:t xml:space="preserve"> </w:t>
      </w:r>
      <w:r>
        <w:t xml:space="preserve">Thursday, August 6, 2026 (before market open) |</w:t>
      </w:r>
      <w:r>
        <w:t xml:space="preserve"> </w:t>
      </w:r>
      <w:r>
        <w:rPr>
          <w:b/>
          <w:bCs/>
        </w:rPr>
        <w:t xml:space="preserve">Call:</w:t>
      </w:r>
      <w:r>
        <w:t xml:space="preserve"> </w:t>
      </w:r>
      <w:r>
        <w:t xml:space="preserve">2026Q2 Earnings Call</w:t>
      </w:r>
    </w:p>
    <w:p>
      <w:r>
        <w:pict>
          <v:rect style="width:0;height:1.5pt" o:hralign="center" o:hrstd="t" o:hr="t"/>
        </w:pict>
      </w:r>
    </w:p>
    <w:bookmarkStart w:id="9" w:name="setup-into-the-print"/>
    <w:p>
      <w:pPr>
        <w:pStyle w:val="Heading2"/>
      </w:pPr>
      <w:r>
        <w:t xml:space="preserve">Setup Into the Print</w:t>
      </w:r>
    </w:p>
    <w:p>
      <w:pPr>
        <w:pStyle w:val="FirstParagraph"/>
      </w:pPr>
      <w:r>
        <w:t xml:space="preserve">Howmet shares have been on a tear, rallying from roughly $212 at the start of January 2026 to nearly $291 as of August 5 — a run of well over 35% year-to-date and close to a new high heading into the report. The stock jumped 6.3% the day it reported Q1 (May 7) after crushing guidance, and sentiment has stayed hot: CNBC's Jim Cramer recently called Howmet "one of my absolute favorite aerospace plays" and told viewers to buy it. Analyst sentiment is similarly bullish — Wall Street's consensus rating skews to "Strong Buy" (roughly 18 of 23 covering analysts), with an average price target near $313, only modest upside from current levels after the run-up. That combination — a near-perfect execution track record, a rich valuation, and lofty expectations — sets a high bar for Wednesday's print.</w:t>
      </w:r>
    </w:p>
    <w:bookmarkEnd w:id="9"/>
    <w:bookmarkStart w:id="10" w:name="what-management-guided-to"/>
    <w:p>
      <w:pPr>
        <w:pStyle w:val="Heading2"/>
      </w:pPr>
      <w:r>
        <w:t xml:space="preserve">What Management Guided To</w:t>
      </w:r>
    </w:p>
    <w:p>
      <w:pPr>
        <w:pStyle w:val="FirstParagraph"/>
      </w:pPr>
      <w:r>
        <w:t xml:space="preserve">On the Q1 call, CFO Patrick Winterlich and CEO/Executive Chairman John Plant laid out explicit second-quarter targets: revenue of</w:t>
      </w:r>
      <w:r>
        <w:t xml:space="preserve"> </w:t>
      </w:r>
      <m:oMath>
        <m:r>
          <m:t>2.40</m:t>
        </m:r>
        <m:r>
          <m:t>b</m:t>
        </m:r>
        <m:r>
          <m:t>i</m:t>
        </m:r>
        <m:r>
          <m:t>l</m:t>
        </m:r>
        <m:r>
          <m:t>l</m:t>
        </m:r>
        <m:r>
          <m:t>i</m:t>
        </m:r>
        <m:r>
          <m:t>o</m:t>
        </m:r>
        <m:r>
          <m:t>n</m:t>
        </m:r>
        <m:r>
          <m:rPr>
            <m:sty m:val="p"/>
          </m:rPr>
          <m:t>(</m:t>
        </m:r>
        <m:r>
          <m:rPr>
            <m:sty m:val="p"/>
          </m:rPr>
          <m:t>±</m:t>
        </m:r>
      </m:oMath>
      <w:r>
        <w:rPr>
          <w:b/>
          <w:bCs/>
        </w:rPr>
        <w:t xml:space="preserve">10M)</w:t>
      </w:r>
      <w:r>
        <w:t xml:space="preserve">, adjusted EBITDA of</w:t>
      </w:r>
      <w:r>
        <w:t xml:space="preserve"> </w:t>
      </w:r>
      <m:oMath>
        <m:r>
          <m:t>765</m:t>
        </m:r>
        <m:r>
          <m:t>m</m:t>
        </m:r>
        <m:r>
          <m:t>i</m:t>
        </m:r>
        <m:r>
          <m:t>l</m:t>
        </m:r>
        <m:r>
          <m:t>l</m:t>
        </m:r>
        <m:r>
          <m:t>i</m:t>
        </m:r>
        <m:r>
          <m:t>o</m:t>
        </m:r>
        <m:r>
          <m:t>n</m:t>
        </m:r>
        <m:r>
          <m:rPr>
            <m:sty m:val="p"/>
          </m:rPr>
          <m:t>(</m:t>
        </m:r>
        <m:r>
          <m:rPr>
            <m:sty m:val="p"/>
          </m:rPr>
          <m:t>±</m:t>
        </m:r>
      </m:oMath>
      <w:r>
        <w:rPr>
          <w:b/>
          <w:bCs/>
        </w:rPr>
        <w:t xml:space="preserve">5M)</w:t>
      </w:r>
      <w:r>
        <w:t xml:space="preserve">, and adjusted EPS of</w:t>
      </w:r>
      <w:r>
        <w:t xml:space="preserve"> </w:t>
      </w:r>
      <m:oMath>
        <m:r>
          <m:t>1.23</m:t>
        </m:r>
        <m:r>
          <m:rPr>
            <m:sty m:val="p"/>
          </m:rPr>
          <m:t>(</m:t>
        </m:r>
        <m:r>
          <m:rPr>
            <m:sty m:val="p"/>
          </m:rPr>
          <m:t>±</m:t>
        </m:r>
      </m:oMath>
      <w:r>
        <w:rPr>
          <w:b/>
          <w:bCs/>
        </w:rPr>
        <w:t xml:space="preserve">0.01)</w:t>
      </w:r>
      <w:r>
        <w:t xml:space="preserve"> </w:t>
      </w:r>
      <w:r>
        <w:t xml:space="preserve">— implying incremental EBITDA flow-through of roughly 51% year-over-year. For the full year, the company raised guidance to revenue of</w:t>
      </w:r>
      <w:r>
        <w:t xml:space="preserve"> </w:t>
      </w:r>
      <m:oMath>
        <m:r>
          <m:t>9.65</m:t>
        </m:r>
        <m:r>
          <m:t>b</m:t>
        </m:r>
        <m:r>
          <m:t>i</m:t>
        </m:r>
        <m:r>
          <m:t>l</m:t>
        </m:r>
        <m:r>
          <m:t>l</m:t>
        </m:r>
        <m:r>
          <m:t>i</m:t>
        </m:r>
        <m:r>
          <m:t>o</m:t>
        </m:r>
        <m:r>
          <m:t>n</m:t>
        </m:r>
        <m:r>
          <m:rPr>
            <m:sty m:val="p"/>
          </m:rPr>
          <m:t>(</m:t>
        </m:r>
        <m:r>
          <m:rPr>
            <m:sty m:val="p"/>
          </m:rPr>
          <m:t>±</m:t>
        </m:r>
      </m:oMath>
      <w:r>
        <w:rPr>
          <w:b/>
          <w:bCs/>
        </w:rPr>
        <w:t xml:space="preserve">75M)</w:t>
      </w:r>
      <w:r>
        <w:t xml:space="preserve">, adjusted EBITDA of</w:t>
      </w:r>
      <w:r>
        <w:t xml:space="preserve"> </w:t>
      </w:r>
      <m:oMath>
        <m:r>
          <m:t>3.06</m:t>
        </m:r>
        <m:r>
          <m:t>b</m:t>
        </m:r>
        <m:r>
          <m:t>i</m:t>
        </m:r>
        <m:r>
          <m:t>l</m:t>
        </m:r>
        <m:r>
          <m:t>l</m:t>
        </m:r>
        <m:r>
          <m:t>i</m:t>
        </m:r>
        <m:r>
          <m:t>o</m:t>
        </m:r>
        <m:r>
          <m:t>n</m:t>
        </m:r>
        <m:r>
          <m:rPr>
            <m:sty m:val="p"/>
          </m:rPr>
          <m:t>(</m:t>
        </m:r>
        <m:r>
          <m:rPr>
            <m:sty m:val="p"/>
          </m:rPr>
          <m:t>±</m:t>
        </m:r>
      </m:oMath>
      <w:r>
        <w:rPr>
          <w:b/>
          <w:bCs/>
        </w:rPr>
        <w:t xml:space="preserve">35M)</w:t>
      </w:r>
      <w:r>
        <w:t xml:space="preserve">, adjusted EPS of</w:t>
      </w:r>
      <w:r>
        <w:t xml:space="preserve"> </w:t>
      </w:r>
      <m:oMath>
        <m:r>
          <m:t>4.94</m:t>
        </m:r>
        <m:r>
          <m:rPr>
            <m:sty m:val="p"/>
          </m:rPr>
          <m:t>(</m:t>
        </m:r>
        <m:r>
          <m:rPr>
            <m:sty m:val="p"/>
          </m:rPr>
          <m:t>±</m:t>
        </m:r>
      </m:oMath>
      <w:r>
        <w:rPr>
          <w:b/>
          <w:bCs/>
        </w:rPr>
        <w:t xml:space="preserve">0.06)</w:t>
      </w:r>
      <w:r>
        <w:t xml:space="preserve">, and free cash flow of</w:t>
      </w:r>
      <w:r>
        <w:t xml:space="preserve"> </w:t>
      </w:r>
      <m:oMath>
        <m:r>
          <m:t>1.75</m:t>
        </m:r>
        <m:r>
          <m:t>b</m:t>
        </m:r>
        <m:r>
          <m:t>i</m:t>
        </m:r>
        <m:r>
          <m:t>l</m:t>
        </m:r>
        <m:r>
          <m:t>l</m:t>
        </m:r>
        <m:r>
          <m:t>i</m:t>
        </m:r>
        <m:r>
          <m:t>o</m:t>
        </m:r>
        <m:r>
          <m:t>n</m:t>
        </m:r>
        <m:r>
          <m:rPr>
            <m:sty m:val="p"/>
          </m:rPr>
          <m:t>(</m:t>
        </m:r>
        <m:r>
          <m:rPr>
            <m:sty m:val="p"/>
          </m:rPr>
          <m:t>±</m:t>
        </m:r>
      </m:oMath>
      <w:r>
        <w:rPr>
          <w:b/>
          <w:bCs/>
        </w:rPr>
        <w:t xml:space="preserve">50M)</w:t>
      </w:r>
      <w:r>
        <w:t xml:space="preserve">. Notably, management said organic revenue growth guidance for the year (stripping out M&amp;A effects) rose to 14%, up from the 10% guided back in February — a meaningful upward revision that reflects broad-based strength rather than just portfolio shuffling.</w:t>
      </w:r>
    </w:p>
    <w:p>
      <w:pPr>
        <w:pStyle w:val="BodyText"/>
      </w:pPr>
      <w:r>
        <w:t xml:space="preserve">Sell-side estimates are tracking essentially in line with — or fractionally above — that guidance: consensus EPS for Q2 sits around</w:t>
      </w:r>
      <w:r>
        <w:t xml:space="preserve"> </w:t>
      </w:r>
      <m:oMath>
        <m:r>
          <m:t>1.23</m:t>
        </m:r>
        <m:r>
          <m:rPr>
            <m:sty m:val="p"/>
          </m:rPr>
          <m:t>–</m:t>
        </m:r>
      </m:oMath>
      <w:r>
        <w:t xml:space="preserve">1.25 on revenue near $2.41 billion, and full-year consensus EPS is running closer to</w:t>
      </w:r>
      <w:r>
        <w:t xml:space="preserve"> </w:t>
      </w:r>
      <m:oMath>
        <m:r>
          <m:t>5.00</m:t>
        </m:r>
        <m:r>
          <m:rPr>
            <m:sty m:val="p"/>
          </m:rPr>
          <m:t>–</m:t>
        </m:r>
      </m:oMath>
      <w:r>
        <w:t xml:space="preserve">5.05, above the company's own $4.94 midpoint. That's consistent with Howmet's recent pattern of beating and raising: Q1 revenue, EBITDA, EBITDA margin and EPS all came in above the high end of guidance, with revenue up 19% y/y (the fastest growth since Q1 2023), EBITDA up 32%, EBITDA margin hitting a record 32.0% (up 320 bps), and adjusted EPS up 42% to $1.22.</w:t>
      </w:r>
    </w:p>
    <w:bookmarkEnd w:id="10"/>
    <w:bookmarkStart w:id="11" w:name="key-things-to-watch"/>
    <w:p>
      <w:pPr>
        <w:pStyle w:val="Heading2"/>
      </w:pPr>
      <w:r>
        <w:t xml:space="preserve">Key Things to Watch</w:t>
      </w:r>
    </w:p>
    <w:p>
      <w:pPr>
        <w:pStyle w:val="FirstParagraph"/>
      </w:pPr>
      <w:r>
        <w:rPr>
          <w:b/>
          <w:bCs/>
        </w:rPr>
        <w:t xml:space="preserve">1. Engine Products / spares momentum.</w:t>
      </w:r>
      <w:r>
        <w:t xml:space="preserve"> </w:t>
      </w:r>
      <w:r>
        <w:t xml:space="preserve">Commercial aerospace engine spares were up 48% in Q1, and total spares across Commercial Aero, Defense Aero and Gas Turbines rose 36% to ~$520 million — now 23% of total revenue, up from 21% for full-year 2025 and just 11% back in 2019. Watch whether that spares mix keeps climbing and whether GTF Advantage and LEAP-1B "Maverick" turbine-blade ramps are tracking management's stated timeline (fuller GTF Advantage production in 2026 building toward a bigger 2027, with the LEAP-1B changeover expected by Q3/Q4).</w:t>
      </w:r>
    </w:p>
    <w:p>
      <w:pPr>
        <w:pStyle w:val="BodyText"/>
      </w:pPr>
      <w:r>
        <w:rPr>
          <w:b/>
          <w:bCs/>
        </w:rPr>
        <w:t xml:space="preserve">2. Gas turbines (IGT) — the highest-growth, highest-scrutiny segment.</w:t>
      </w:r>
      <w:r>
        <w:t xml:space="preserve"> </w:t>
      </w:r>
      <w:r>
        <w:t xml:space="preserve">Gas Turbine revenue grew 39% in Q1 on data-center-driven natural gas demand. Management said contract negotiations were finalized with 6 of 7 major IGT customers (up from 4 as of the prior call), with the last major customer expected to close "during the balance of the second quarter" — a headline item investors will want confirmed. Capacity additions (including a new Japan plant targeted for first production by Q4 2026) and a shift from batch to flow production should support further sequential gains, though management has cautioned comps get tougher in H2 given last year's ramp.</w:t>
      </w:r>
    </w:p>
    <w:p>
      <w:pPr>
        <w:pStyle w:val="BodyText"/>
      </w:pPr>
      <w:r>
        <w:rPr>
          <w:b/>
          <w:bCs/>
        </w:rPr>
        <w:t xml:space="preserve">3. Fastening Systems / M&amp;A integration.</w:t>
      </w:r>
      <w:r>
        <w:t xml:space="preserve"> </w:t>
      </w:r>
      <w:r>
        <w:t xml:space="preserve">Howmet closed the Brunner acquisition (</w:t>
      </w:r>
      <m:oMath>
        <m:r>
          <m:t>120</m:t>
        </m:r>
        <m:r>
          <m:t>M</m:t>
        </m:r>
        <m:r>
          <m:rPr>
            <m:sty m:val="p"/>
          </m:rPr>
          <m:t>,</m:t>
        </m:r>
        <m:r>
          <m:t>F</m:t>
        </m:r>
        <m:r>
          <m:t>e</m:t>
        </m:r>
        <m:r>
          <m:t>b</m:t>
        </m:r>
        <m:r>
          <m:t>6</m:t>
        </m:r>
        <m:r>
          <m:rPr>
            <m:sty m:val="p"/>
          </m:rPr>
          <m:t>)</m:t>
        </m:r>
        <m:r>
          <m:t>a</m:t>
        </m:r>
        <m:r>
          <m:t>n</m:t>
        </m:r>
        <m:r>
          <m:t>d</m:t>
        </m:r>
        <m:r>
          <m:t>t</m:t>
        </m:r>
        <m:r>
          <m:t>h</m:t>
        </m:r>
        <m:r>
          <m:t>e</m:t>
        </m:r>
        <m:r>
          <m:t>m</m:t>
        </m:r>
        <m:r>
          <m:t>u</m:t>
        </m:r>
        <m:r>
          <m:t>c</m:t>
        </m:r>
        <m:r>
          <m:t>h</m:t>
        </m:r>
        <m:r>
          <m:t>l</m:t>
        </m:r>
        <m:r>
          <m:t>a</m:t>
        </m:r>
        <m:r>
          <m:t>r</m:t>
        </m:r>
        <m:r>
          <m:t>g</m:t>
        </m:r>
        <m:r>
          <m:t>e</m:t>
        </m:r>
        <m:r>
          <m:t>r</m:t>
        </m:r>
        <m:r>
          <m:t>C</m:t>
        </m:r>
        <m:r>
          <m:t>o</m:t>
        </m:r>
        <m:r>
          <m:t>n</m:t>
        </m:r>
        <m:r>
          <m:t>s</m:t>
        </m:r>
        <m:r>
          <m:t>o</m:t>
        </m:r>
        <m:r>
          <m:t>l</m:t>
        </m:r>
        <m:r>
          <m:t>i</m:t>
        </m:r>
        <m:r>
          <m:t>d</m:t>
        </m:r>
        <m:r>
          <m:t>a</m:t>
        </m:r>
        <m:r>
          <m:t>t</m:t>
        </m:r>
        <m:r>
          <m:t>e</m:t>
        </m:r>
        <m:r>
          <m:t>d</m:t>
        </m:r>
        <m:r>
          <m:t>A</m:t>
        </m:r>
        <m:r>
          <m:t>e</m:t>
        </m:r>
        <m:r>
          <m:t>r</m:t>
        </m:r>
        <m:r>
          <m:t>o</m:t>
        </m:r>
        <m:r>
          <m:t>s</m:t>
        </m:r>
        <m:r>
          <m:t>p</m:t>
        </m:r>
        <m:r>
          <m:t>a</m:t>
        </m:r>
        <m:r>
          <m:t>c</m:t>
        </m:r>
        <m:r>
          <m:t>e</m:t>
        </m:r>
        <m:r>
          <m:t>M</m:t>
        </m:r>
        <m:r>
          <m:t>a</m:t>
        </m:r>
        <m:r>
          <m:t>n</m:t>
        </m:r>
        <m:r>
          <m:t>u</m:t>
        </m:r>
        <m:r>
          <m:t>f</m:t>
        </m:r>
        <m:r>
          <m:t>a</m:t>
        </m:r>
        <m:r>
          <m:t>c</m:t>
        </m:r>
        <m:r>
          <m:t>t</m:t>
        </m:r>
        <m:r>
          <m:t>u</m:t>
        </m:r>
        <m:r>
          <m:t>r</m:t>
        </m:r>
        <m:r>
          <m:t>i</m:t>
        </m:r>
        <m:r>
          <m:t>n</m:t>
        </m:r>
        <m:r>
          <m:t>g</m:t>
        </m:r>
        <m:r>
          <m:rPr>
            <m:sty m:val="p"/>
          </m:rPr>
          <m:t>(</m:t>
        </m:r>
        <m:r>
          <m:t>C</m:t>
        </m:r>
        <m:r>
          <m:t>A</m:t>
        </m:r>
        <m:r>
          <m:t>M</m:t>
        </m:r>
        <m:r>
          <m:rPr>
            <m:sty m:val="p"/>
          </m:rPr>
          <m:t>)</m:t>
        </m:r>
        <m:r>
          <m:t>a</m:t>
        </m:r>
        <m:r>
          <m:t>c</m:t>
        </m:r>
        <m:r>
          <m:t>q</m:t>
        </m:r>
        <m:r>
          <m:t>u</m:t>
        </m:r>
        <m:r>
          <m:t>i</m:t>
        </m:r>
        <m:r>
          <m:t>s</m:t>
        </m:r>
        <m:r>
          <m:t>i</m:t>
        </m:r>
        <m:r>
          <m:t>t</m:t>
        </m:r>
        <m:r>
          <m:t>i</m:t>
        </m:r>
        <m:r>
          <m:t>o</m:t>
        </m:r>
        <m:r>
          <m:t>n</m:t>
        </m:r>
        <m:r>
          <m:rPr>
            <m:sty m:val="p"/>
          </m:rPr>
          <m:t>(</m:t>
        </m:r>
      </m:oMath>
      <w:r>
        <w:t xml:space="preserve">1.8B, April 6, funded via</w:t>
      </w:r>
      <w:r>
        <w:t xml:space="preserve"> </w:t>
      </w:r>
      <m:oMath>
        <m:r>
          <m:t>1.65</m:t>
        </m:r>
        <m:r>
          <m:t>B</m:t>
        </m:r>
        <m:r>
          <m:t>o</m:t>
        </m:r>
        <m:r>
          <m:t>f</m:t>
        </m:r>
        <m:r>
          <m:t>n</m:t>
        </m:r>
        <m:r>
          <m:t>e</m:t>
        </m:r>
        <m:r>
          <m:t>w</m:t>
        </m:r>
        <m:r>
          <m:t>d</m:t>
        </m:r>
        <m:r>
          <m:t>e</m:t>
        </m:r>
        <m:r>
          <m:t>b</m:t>
        </m:r>
        <m:r>
          <m:t>t</m:t>
        </m:r>
        <m:r>
          <m:rPr>
            <m:sty m:val="p"/>
          </m:rPr>
          <m:t>)</m:t>
        </m:r>
        <m:r>
          <m:t>i</m:t>
        </m:r>
        <m:r>
          <m:t>n</m:t>
        </m:r>
        <m:r>
          <m:t>t</m:t>
        </m:r>
        <m:r>
          <m:t>h</m:t>
        </m:r>
        <m:r>
          <m:t>e</m:t>
        </m:r>
        <m:r>
          <m:t>f</m:t>
        </m:r>
        <m:r>
          <m:t>i</m:t>
        </m:r>
        <m:r>
          <m:t>r</m:t>
        </m:r>
        <m:r>
          <m:t>s</m:t>
        </m:r>
        <m:r>
          <m:t>t</m:t>
        </m:r>
        <m:r>
          <m:t>h</m:t>
        </m:r>
        <m:r>
          <m:t>a</m:t>
        </m:r>
        <m:r>
          <m:t>l</m:t>
        </m:r>
        <m:r>
          <m:t>f</m:t>
        </m:r>
        <m:r>
          <m:rPr>
            <m:sty m:val="p"/>
          </m:rPr>
          <m:t>,</m:t>
        </m:r>
        <m:r>
          <m:t>w</m:t>
        </m:r>
        <m:r>
          <m:t>h</m:t>
        </m:r>
        <m:r>
          <m:t>i</m:t>
        </m:r>
        <m:r>
          <m:t>l</m:t>
        </m:r>
        <m:r>
          <m:t>e</m:t>
        </m:r>
        <m:r>
          <m:t>d</m:t>
        </m:r>
        <m:r>
          <m:t>i</m:t>
        </m:r>
        <m:r>
          <m:t>v</m:t>
        </m:r>
        <m:r>
          <m:t>e</m:t>
        </m:r>
        <m:r>
          <m:t>s</m:t>
        </m:r>
        <m:r>
          <m:t>t</m:t>
        </m:r>
        <m:r>
          <m:t>i</m:t>
        </m:r>
        <m:r>
          <m:t>n</m:t>
        </m:r>
        <m:r>
          <m:t>g</m:t>
        </m:r>
        <m:r>
          <m:t>t</m:t>
        </m:r>
        <m:r>
          <m:t>h</m:t>
        </m:r>
        <m:r>
          <m:t>e</m:t>
        </m:r>
        <m:r>
          <m:t>S</m:t>
        </m:r>
        <m:r>
          <m:t>a</m:t>
        </m:r>
        <m:r>
          <m:t>v</m:t>
        </m:r>
        <m:r>
          <m:t>a</m:t>
        </m:r>
        <m:r>
          <m:t>n</m:t>
        </m:r>
        <m:r>
          <m:t>n</m:t>
        </m:r>
        <m:r>
          <m:t>a</m:t>
        </m:r>
        <m:r>
          <m:t>h</m:t>
        </m:r>
        <m:r>
          <m:rPr>
            <m:sty m:val="p"/>
          </m:rPr>
          <m:t>,</m:t>
        </m:r>
        <m:r>
          <m:t>G</m:t>
        </m:r>
        <m:r>
          <m:t>A</m:t>
        </m:r>
        <m:r>
          <m:t>d</m:t>
        </m:r>
        <m:r>
          <m:t>i</m:t>
        </m:r>
        <m:r>
          <m:t>s</m:t>
        </m:r>
        <m:r>
          <m:t>k</m:t>
        </m:r>
        <m:r>
          <m:rPr>
            <m:sty m:val="p"/>
          </m:rPr>
          <m:t>−</m:t>
        </m:r>
        <m:r>
          <m:t>f</m:t>
        </m:r>
        <m:r>
          <m:t>o</m:t>
        </m:r>
        <m:r>
          <m:t>r</m:t>
        </m:r>
        <m:r>
          <m:t>g</m:t>
        </m:r>
        <m:r>
          <m:t>i</m:t>
        </m:r>
        <m:r>
          <m:t>n</m:t>
        </m:r>
        <m:r>
          <m:t>g</m:t>
        </m:r>
        <m:r>
          <m:t>f</m:t>
        </m:r>
        <m:r>
          <m:t>a</m:t>
        </m:r>
        <m:r>
          <m:t>c</m:t>
        </m:r>
        <m:r>
          <m:t>i</m:t>
        </m:r>
        <m:r>
          <m:t>l</m:t>
        </m:r>
        <m:r>
          <m:t>i</m:t>
        </m:r>
        <m:r>
          <m:t>t</m:t>
        </m:r>
        <m:r>
          <m:t>y</m:t>
        </m:r>
        <m:r>
          <m:rPr>
            <m:sty m:val="p"/>
          </m:rPr>
          <m:t>(</m:t>
        </m:r>
      </m:oMath>
      <w:r>
        <w:t xml:space="preserve">230M) out of Engineered Structures. Combined, these portfolio moves are expected to add roughly $275 million of revenue and about $60 million of EBITDA to the remainder of 2026, with an "insignificant" EPS impact this year due to added interest expense but accretion expected starting in 2027. Investors should watch CAM integration progress and whether Fastening Systems margins (31.8% in Q1, +100 bps y/y) continue improving.</w:t>
      </w:r>
    </w:p>
    <w:p>
      <w:pPr>
        <w:pStyle w:val="BodyText"/>
      </w:pPr>
      <w:r>
        <w:rPr>
          <w:b/>
          <w:bCs/>
        </w:rPr>
        <w:t xml:space="preserve">4. Commercial Transportation (Forged Wheels) — the soft spot.</w:t>
      </w:r>
      <w:r>
        <w:t xml:space="preserve"> </w:t>
      </w:r>
      <w:r>
        <w:t xml:space="preserve">Wheels volumes were down 11% in Q1 as the truck market downcycle persisted, with revenue growth driven mostly by aluminum/tariff cost pass-through rather than units. Management flagged early signs of strengthening starting in Q2 (helped by 2027 emissions-regulation prebuy activity) but has baked in a conservative sub-5% growth assumption for the segment for the year. Any inflection here would be a modest positive surprise; continued softness is already expected.</w:t>
      </w:r>
    </w:p>
    <w:p>
      <w:pPr>
        <w:pStyle w:val="BodyText"/>
      </w:pPr>
      <w:r>
        <w:rPr>
          <w:b/>
          <w:bCs/>
        </w:rPr>
        <w:t xml:space="preserve">5. Balance sheet, leverage trajectory, and capital returns.</w:t>
      </w:r>
      <w:r>
        <w:t xml:space="preserve"> </w:t>
      </w:r>
      <w:r>
        <w:t xml:space="preserve">Net leverage stood at 1.6x after the CAM deal (versus below 1x excluding it), and management guided to a "significant" decline through the balance of 2026. Fitch upgraded Howmet to A- in Q1 (four notches into investment grade), and the company has now repurchased stock for 20 consecutive quarters ($300M in Q1 plus $150M in April, leaving about $1.05 billion of authorization). The quarterly dividend was raised 20% to $0.12/share, with management indicating 2026's total dividend distributions will exceed 2025's. Watch for confirmation that deleveraging is on pace and any fresh commentary on further M&amp;A appetite — management has signaled it remains open to additional bolt-ons but wants to avoid "deal fever."</w:t>
      </w:r>
    </w:p>
    <w:p>
      <w:pPr>
        <w:pStyle w:val="BodyText"/>
      </w:pPr>
      <w:r>
        <w:rPr>
          <w:b/>
          <w:bCs/>
        </w:rPr>
        <w:t xml:space="preserve">6. Macro/geopolitical overhang.</w:t>
      </w:r>
      <w:r>
        <w:t xml:space="preserve"> </w:t>
      </w:r>
      <w:r>
        <w:t xml:space="preserve">On the Q1 call, management flagged uncertainty tied to the conflict in Iran/Middle East and its potential knock-on effects on oil prices, inflation, and airline traffic/spares demand, alongside tariff and aluminum-cost pass-through dynamics in Commercial Transportation. These remain live swing factors for the outlook commentary investors should listen for.</w:t>
      </w:r>
    </w:p>
    <w:bookmarkEnd w:id="11"/>
    <w:bookmarkStart w:id="12" w:name="sector-read-through"/>
    <w:p>
      <w:pPr>
        <w:pStyle w:val="Heading2"/>
      </w:pPr>
      <w:r>
        <w:t xml:space="preserve">Sector Read-Through</w:t>
      </w:r>
    </w:p>
    <w:p>
      <w:pPr>
        <w:pStyle w:val="FirstParagraph"/>
      </w:pPr>
      <w:r>
        <w:t xml:space="preserve">Aerospace-supply-chain peers have generally posted a strong Q2 season, which is a favorable read-through for Howmet: TransDigm raised full-year guidance again after mid-teens sales growth and closed a $2.2 billion bolt-on acquisition, while AAR posted 26%+ revenue growth (though its stock still fell on the print — a reminder that in this sector, "beat" alone may not be enough given how much good news is already priced in).</w:t>
      </w:r>
    </w:p>
    <w:bookmarkEnd w:id="12"/>
    <w:bookmarkStart w:id="13" w:name="bottom-line"/>
    <w:p>
      <w:pPr>
        <w:pStyle w:val="Heading2"/>
      </w:pPr>
      <w:r>
        <w:t xml:space="preserve">Bottom Line</w:t>
      </w:r>
    </w:p>
    <w:p>
      <w:pPr>
        <w:pStyle w:val="FirstParagraph"/>
      </w:pPr>
      <w:r>
        <w:t xml:space="preserve">Howmet goes into Wednesday's report with real fundamental momentum — accelerating organic growth (guided to 14% for 2026), record margins, strong free cash flow, an investment-grade balance sheet getting stronger, and a reshaped, higher-margin Fastening Systems franchise post-CAM. The company has a strong recent history of beating its own guidance. The key question for investors isn't really "will Howmet execute" — it's whether results are strong enough, and forward commentary (especially on gas-turbine capacity/customer contracts, GTF Advantage/LEAP-1B ramps, and Commercial Transportation) is upbeat enough, to justify a stock already trading near its highs with consensus price targets offering only modest incremental upside. A clean beat-and-raise, further confirmation on the final IGT customer contract, and continued deleveraging progress would likely be well received; any wobble in spares growth, gas-turbine capacity timing, or a cautious tone on 2027 could trigger profit-taking after such a strong run.</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2026-08-06T00:42:22Z</dcterms:created>
  <dcterms:modified xsi:type="dcterms:W3CDTF">2026-08-06T00:42:22Z</dcterms:modified>
</cp:coreProperties>
</file>

<file path=docProps/custom.xml><?xml version="1.0" encoding="utf-8"?>
<Properties xmlns="http://schemas.openxmlformats.org/officeDocument/2006/custom-properties" xmlns:vt="http://schemas.openxmlformats.org/officeDocument/2006/docPropsVTypes"/>
</file>