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wm-earnings-predictions--2026-08-06"/>
    <w:p>
      <w:pPr>
        <w:pStyle w:val="Heading1"/>
      </w:pPr>
      <w:r>
        <w:t xml:space="preserve">HWM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~$2.46B vs. cons $2.43B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~$788M vs. cons $775M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~$1.27 vs. cons $1.24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~$2.49B vs. cons $2.47B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~$1.29 vs. cons $1.26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~$9.82B vs. cons $9.74B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~$3.17B vs. cons $3.13B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~$5.12 vs. cons $5.05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~$1.85B vs. cons $1.78B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+4.3% (FOLLOW-THROUGH)</w:t>
            </w:r>
          </w:p>
        </w:tc>
        <w:tc>
          <w:tcPr/>
          <w:p>
            <w:pPr>
              <w:pStyle w:val="Compact"/>
            </w:pPr>
            <w:r>
              <w:t xml:space="preserve">FY2026 guide of ~$5.12 EPS vs. $5.05 consensus implies roughly $2.63 of second-half EPS after predicted first-half EPS of $2.49, versus approximately $2.59 embedded by consensus; positive out-period revisions should outweigh valuation-driven profit-taking.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2026-08-06T00:40:02Z</dcterms:created>
  <dcterms:modified xsi:type="dcterms:W3CDTF">2026-08-06T00:40:02Z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