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X07827b57673887a450540901acc025119008919"/>
    <w:p>
      <w:pPr>
        <w:pStyle w:val="Heading1"/>
      </w:pPr>
      <w:r>
        <w:t xml:space="preserve">Howmet Aerospace (HWM) 2026 Q2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August 6, 2026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assumes Howmet has not yet released results for its</w:t>
      </w:r>
      <w:r>
        <w:t xml:space="preserve"> </w:t>
      </w:r>
      <w:r>
        <w:rPr>
          <w:b/>
          <w:bCs/>
        </w:rPr>
        <w:t xml:space="preserve">2026 Q2 earnings call scheduled for August 6</w:t>
      </w:r>
      <w:r>
        <w:t xml:space="preserve">.</w:t>
      </w:r>
    </w:p>
    <w:bookmarkStart w:id="1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Howmet enters the report with excellent operating momentum, favorable aerospace and industrial-gas-turbine demand, and supportive read-throughs from customers and peers. The central question is therefore</w:t>
      </w:r>
      <w:r>
        <w:t xml:space="preserve"> </w:t>
      </w:r>
      <w:r>
        <w:rPr>
          <w:b/>
          <w:bCs/>
        </w:rPr>
        <w:t xml:space="preserve">not whether Q2 was strong—it almost certainly was—but whether results and guidance can clear an unusually high valuation bar</w:t>
      </w:r>
      <w:r>
        <w:t xml:space="preserve">.</w:t>
      </w:r>
    </w:p>
    <w:p>
      <w:pPr>
        <w:pStyle w:val="BodyText"/>
      </w:pPr>
      <w:r>
        <w:t xml:space="preserve">Management’s Q2 guidance already implies approximately 17% revenue growth, a 31.9% adjusted EBITDA margin, and 35% adjusted EPS growth. Consensus estimates sit around the top of that range. More importantly, full-year estimates have moved slightly above Howmet’s existing outlook, signaling that investors are expecting another guidance increase. (</w:t>
      </w:r>
      <w:hyperlink r:id="rId9">
        <w:r>
          <w:rPr>
            <w:rStyle w:val="Hyperlink"/>
          </w:rPr>
          <w:t xml:space="preserve">benzinga.com</w:t>
        </w:r>
      </w:hyperlink>
      <w:r>
        <w:t xml:space="preserve">)</w:t>
      </w:r>
    </w:p>
    <w:p>
      <w:pPr>
        <w:pStyle w:val="BodyText"/>
      </w:pPr>
      <w:r>
        <w:t xml:space="preserve">My view going into the report: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Fundamental setup:</w:t>
      </w:r>
      <w:r>
        <w:t xml:space="preserve"> </w:t>
      </w:r>
      <w:r>
        <w:t xml:space="preserve">Constructive.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likely outcome:</w:t>
      </w:r>
      <w:r>
        <w:t xml:space="preserve"> </w:t>
      </w:r>
      <w:r>
        <w:t xml:space="preserve">Q2 near or above the top of guidance, accompanied by a higher full-year outlook.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Biggest upside drivers:</w:t>
      </w:r>
      <w:r>
        <w:t xml:space="preserve"> </w:t>
      </w:r>
      <w:r>
        <w:t xml:space="preserve">Engine spares, industrial gas turbines, aerospace production growth and continued margin execution.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Biggest risk:</w:t>
      </w:r>
      <w:r>
        <w:t xml:space="preserve"> </w:t>
      </w:r>
      <w:r>
        <w:t xml:space="preserve">A merely in-line quarter or cautious guidance may disappoint after the stock’s substantial rerating.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Most important numbers:</w:t>
      </w:r>
      <w:r>
        <w:t xml:space="preserve"> </w:t>
      </w:r>
      <w:r>
        <w:t xml:space="preserve">Engine Products growth and margin, consolidated EBITDA margin, organic full-year revenue growth, and free-cash-flow guidance.</w:t>
      </w:r>
    </w:p>
    <w:p>
      <w:r>
        <w:pict>
          <v:rect style="width:0;height:1.5pt" o:hralign="center" o:hrstd="t" o:hr="t"/>
        </w:pict>
      </w:r>
    </w:p>
    <w:bookmarkEnd w:id="10"/>
    <w:bookmarkStart w:id="13" w:name="expectations-at-a-glance"/>
    <w:p>
      <w:pPr>
        <w:pStyle w:val="Heading2"/>
      </w:pPr>
      <w:r>
        <w:t xml:space="preserve">Expectations at a glance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company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2.39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2.41B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2.41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2.43B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$2.05B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760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t xml:space="preserve">770M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31.8%–32.0%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1.22</m:t>
              </m:r>
              <m:r>
                <m:rPr>
                  <m:sty m:val="p"/>
                </m:rPr>
                <m:t>–</m:t>
              </m:r>
            </m:oMath>
            <w:r>
              <w:t xml:space="preserve">1.24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1.23</m:t>
              </m:r>
              <m:r>
                <m:rPr>
                  <m:sty m:val="p"/>
                </m:rPr>
                <m:t>–</m:t>
              </m:r>
            </m:oMath>
            <w:r>
              <w:t xml:space="preserve">1.24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$0.91</w:t>
            </w:r>
          </w:p>
        </w:tc>
      </w:tr>
    </w:tbl>
    <w:p>
      <w:pPr>
        <w:pStyle w:val="BodyText"/>
      </w:pPr>
      <w:r>
        <w:t xml:space="preserve">Consensus sources vary modestly, but they generally place revenue and EPS at or slightly above the upper end of management’s guidance. (</w:t>
      </w:r>
      <w:hyperlink r:id="rId9">
        <w:r>
          <w:rPr>
            <w:rStyle w:val="Hyperlink"/>
          </w:rPr>
          <w:t xml:space="preserve">benzinga.com</w:t>
        </w:r>
      </w:hyperlink>
      <w:r>
        <w:t xml:space="preserve">)</w:t>
      </w:r>
    </w:p>
    <w:bookmarkStart w:id="12" w:name="existing-full-year-guidance"/>
    <w:p>
      <w:pPr>
        <w:pStyle w:val="Heading3"/>
      </w:pPr>
      <w:r>
        <w:t xml:space="preserve">Existing full-year guidance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FY2026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9.575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9.725B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3.025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3.095B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31.6%–31.8%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4.88</m:t>
              </m:r>
              <m:r>
                <m:rPr>
                  <m:sty m:val="p"/>
                </m:rPr>
                <m:t>–</m:t>
              </m:r>
            </m:oMath>
            <w:r>
              <w:t xml:space="preserve">5.00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1.70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1.80B</w:t>
            </w:r>
          </w:p>
        </w:tc>
      </w:tr>
    </w:tbl>
    <w:p>
      <w:pPr>
        <w:pStyle w:val="BodyText"/>
      </w:pPr>
      <w:r>
        <w:t xml:space="preserve">The Street is around</w:t>
      </w:r>
      <w:r>
        <w:t xml:space="preserve"> </w:t>
      </w:r>
      <w:r>
        <w:rPr>
          <w:b/>
          <w:bCs/>
        </w:rPr>
        <w:t xml:space="preserve">$9.74 billion of revenue and roughly</w:t>
      </w:r>
      <w:r>
        <w:rPr>
          <w:b/>
          <w:bCs/>
        </w:rPr>
        <w:t xml:space="preserve"> </w:t>
      </w:r>
      <m:oMath>
        <m:r>
          <m:t>5.00</m:t>
        </m:r>
        <m:r>
          <m:rPr>
            <m:sty m:val="p"/>
          </m:rPr>
          <m:t>–</m:t>
        </m:r>
      </m:oMath>
      <w:r>
        <w:rPr>
          <w:b/>
          <w:bCs/>
        </w:rPr>
        <w:t xml:space="preserve">5.05 of EPS</w:t>
      </w:r>
      <w:r>
        <w:t xml:space="preserve">, depending on the estimate provider. That means a full-year guidance increase is at least partly embedded in expectations. (</w:t>
      </w:r>
      <w:hyperlink r:id="rId11">
        <w:r>
          <w:rPr>
            <w:rStyle w:val="Hyperlink"/>
          </w:rPr>
          <w:t xml:space="preserve">barchart.com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8" w:name="X86ea93a22c4d7ae24946d599d37c928d2f2e7cd"/>
    <w:p>
      <w:pPr>
        <w:pStyle w:val="Heading2"/>
      </w:pPr>
      <w:r>
        <w:t xml:space="preserve">1. Engine Products remains the center of the story</w:t>
      </w:r>
    </w:p>
    <w:p>
      <w:pPr>
        <w:pStyle w:val="FirstParagraph"/>
      </w:pPr>
      <w:r>
        <w:t xml:space="preserve">Engine Products generated 54% of Howmet’s Q1 revenue and about 60% of segment EBITDA. In Q1:</w:t>
      </w:r>
    </w:p>
    <w:p>
      <w:pPr>
        <w:pStyle w:val="Compact"/>
        <w:numPr>
          <w:ilvl w:val="0"/>
          <w:numId w:val="1002"/>
        </w:numPr>
      </w:pPr>
      <w:r>
        <w:t xml:space="preserve">Revenue grew</w:t>
      </w:r>
      <w:r>
        <w:t xml:space="preserve"> </w:t>
      </w:r>
      <w:r>
        <w:rPr>
          <w:b/>
          <w:bCs/>
        </w:rPr>
        <w:t xml:space="preserve">29%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Segment EBITDA grew</w:t>
      </w:r>
      <w:r>
        <w:t xml:space="preserve"> </w:t>
      </w:r>
      <w:r>
        <w:rPr>
          <w:b/>
          <w:bCs/>
        </w:rPr>
        <w:t xml:space="preserve">44%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Margin expanded 400 basis points to</w:t>
      </w:r>
      <w:r>
        <w:t xml:space="preserve"> </w:t>
      </w:r>
      <w:r>
        <w:rPr>
          <w:b/>
          <w:bCs/>
        </w:rPr>
        <w:t xml:space="preserve">36.6%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Commercial aerospace engine spares grew approximately</w:t>
      </w:r>
      <w:r>
        <w:t xml:space="preserve"> </w:t>
      </w:r>
      <w:r>
        <w:rPr>
          <w:b/>
          <w:bCs/>
        </w:rPr>
        <w:t xml:space="preserve">48%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Industrial gas-turbine revenue grew</w:t>
      </w:r>
      <w:r>
        <w:t xml:space="preserve"> </w:t>
      </w:r>
      <w:r>
        <w:rPr>
          <w:b/>
          <w:bCs/>
        </w:rPr>
        <w:t xml:space="preserve">39%</w:t>
      </w:r>
      <w:r>
        <w:t xml:space="preserve">.</w:t>
      </w:r>
    </w:p>
    <w:p>
      <w:pPr>
        <w:pStyle w:val="FirstParagraph"/>
      </w:pPr>
      <w:r>
        <w:t xml:space="preserve">Those numbers set a demanding sequential and year-over-year comparison. The key question is whether Howmet can sustain extraordinary growth while hiring employees, launching new products and adding capacity.</w:t>
      </w:r>
    </w:p>
    <w:p>
      <w:pPr>
        <w:pStyle w:val="BodyText"/>
      </w:pPr>
      <w:r>
        <w:t xml:space="preserve">The external indicators remain favorable:</w:t>
      </w:r>
    </w:p>
    <w:p>
      <w:pPr>
        <w:pStyle w:val="Compact"/>
        <w:numPr>
          <w:ilvl w:val="0"/>
          <w:numId w:val="1003"/>
        </w:numPr>
      </w:pPr>
      <w:r>
        <w:t xml:space="preserve">GE Aerospace reported first-half commercial-services revenue growth of 32%, total engine-delivery growth of 31%, and LEAP delivery growth of 41%. It raised its full-year outlook across the board. (</w:t>
      </w:r>
      <w:hyperlink r:id="rId14">
        <w:r>
          <w:rPr>
            <w:rStyle w:val="Hyperlink"/>
          </w:rPr>
          <w:t xml:space="preserve">geaerospace.com</w:t>
        </w:r>
      </w:hyperlink>
      <w:r>
        <w:t xml:space="preserve">)</w:t>
      </w:r>
    </w:p>
    <w:p>
      <w:pPr>
        <w:pStyle w:val="Compact"/>
        <w:numPr>
          <w:ilvl w:val="0"/>
          <w:numId w:val="1003"/>
        </w:numPr>
      </w:pPr>
      <w:r>
        <w:t xml:space="preserve">RTX reported 25% growth in Pratt &amp; Whitney commercial aftermarket sales and strong military growth in Q2. (</w:t>
      </w:r>
      <w:hyperlink r:id="rId15">
        <w:r>
          <w:rPr>
            <w:rStyle w:val="Hyperlink"/>
          </w:rPr>
          <w:t xml:space="preserve">rtx.com</w:t>
        </w:r>
      </w:hyperlink>
      <w:r>
        <w:t xml:space="preserve">)</w:t>
      </w:r>
    </w:p>
    <w:p>
      <w:pPr>
        <w:pStyle w:val="Compact"/>
        <w:numPr>
          <w:ilvl w:val="0"/>
          <w:numId w:val="1003"/>
        </w:numPr>
      </w:pPr>
      <w:r>
        <w:t xml:space="preserve">Boeing delivered 171 commercial aircraft in Q2, including 129 737s and 25 787s. (</w:t>
      </w:r>
      <w:hyperlink r:id="rId16">
        <w:r>
          <w:rPr>
            <w:rStyle w:val="Hyperlink"/>
          </w:rPr>
          <w:t xml:space="preserve">investors.boeing.com</w:t>
        </w:r>
      </w:hyperlink>
      <w:r>
        <w:t xml:space="preserve">)</w:t>
      </w:r>
    </w:p>
    <w:p>
      <w:pPr>
        <w:pStyle w:val="FirstParagraph"/>
      </w:pPr>
      <w:r>
        <w:t xml:space="preserve">These data points support continued demand for Howmet’s turbine blades, structural castings and related components.</w:t>
      </w:r>
    </w:p>
    <w:bookmarkStart w:id="17" w:name="what-to-watch"/>
    <w:p>
      <w:pPr>
        <w:pStyle w:val="Heading3"/>
      </w:pPr>
      <w:r>
        <w:t xml:space="preserve">What to watch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Engine Products margin:</w:t>
      </w:r>
      <w:r>
        <w:t xml:space="preserve"> </w:t>
      </w:r>
      <w:r>
        <w:t xml:space="preserve">Holding near 36% would be a strong result given hiring, inflation and capacity investment.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Spares growth:</w:t>
      </w:r>
      <w:r>
        <w:t xml:space="preserve"> </w:t>
      </w:r>
      <w:r>
        <w:t xml:space="preserve">A meaningful deceleration from Q1’s 48% is likely, but growth should remain robust.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LEAP and GTF ramp:</w:t>
      </w:r>
      <w:r>
        <w:t xml:space="preserve"> </w:t>
      </w:r>
      <w:r>
        <w:t xml:space="preserve">Management previously expected rising production of GTF Advantage content and the LEAP-1B “Maverick” turbine-blade transition through the second half.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Supply versus demand:</w:t>
      </w:r>
      <w:r>
        <w:t xml:space="preserve"> </w:t>
      </w:r>
      <w:r>
        <w:t xml:space="preserve">Demand is not the constraint. Yield, labor, tooling and customer production execution are the variables that determine how much revenue Howmet can recognize.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0" w:name="X86bf596e86963eb59f521b39fb0bf5ae3010d23"/>
    <w:p>
      <w:pPr>
        <w:pStyle w:val="Heading2"/>
      </w:pPr>
      <w:r>
        <w:t xml:space="preserve">2. Industrial gas turbines could drive the largest guidance upside</w:t>
      </w:r>
    </w:p>
    <w:p>
      <w:pPr>
        <w:pStyle w:val="FirstParagraph"/>
      </w:pPr>
      <w:r>
        <w:t xml:space="preserve">Industrial gas turbines, or IGT, have evolved from a secondary exposure into a central part of the investment case. Howmet expects demand to potentially double over a three- to five-year period, supported by electricity requirements from data centers, grid investment and distributed power generation.</w:t>
      </w:r>
    </w:p>
    <w:p>
      <w:pPr>
        <w:pStyle w:val="BodyText"/>
      </w:pPr>
      <w:r>
        <w:t xml:space="preserve">Management entered Q2 with commercial agreements completed with six of seven major gas-turbine customers. New Japanese capacity was expected to begin initial production around Q4, so near-term growth still depends heavily on:</w:t>
      </w:r>
    </w:p>
    <w:p>
      <w:pPr>
        <w:pStyle w:val="Compact"/>
        <w:numPr>
          <w:ilvl w:val="0"/>
          <w:numId w:val="1005"/>
        </w:numPr>
      </w:pPr>
      <w:r>
        <w:t xml:space="preserve">Yield improvement.</w:t>
      </w:r>
    </w:p>
    <w:p>
      <w:pPr>
        <w:pStyle w:val="Compact"/>
        <w:numPr>
          <w:ilvl w:val="0"/>
          <w:numId w:val="1005"/>
        </w:numPr>
      </w:pPr>
      <w:r>
        <w:t xml:space="preserve">Moving production from batch to flow.</w:t>
      </w:r>
    </w:p>
    <w:p>
      <w:pPr>
        <w:pStyle w:val="Compact"/>
        <w:numPr>
          <w:ilvl w:val="0"/>
          <w:numId w:val="1005"/>
        </w:numPr>
      </w:pPr>
      <w:r>
        <w:t xml:space="preserve">Better utilization of existing capacity.</w:t>
      </w:r>
    </w:p>
    <w:p>
      <w:pPr>
        <w:pStyle w:val="Compact"/>
        <w:numPr>
          <w:ilvl w:val="0"/>
          <w:numId w:val="1005"/>
        </w:numPr>
      </w:pPr>
      <w:r>
        <w:t xml:space="preserve">Commercial pricing.</w:t>
      </w:r>
    </w:p>
    <w:p>
      <w:pPr>
        <w:pStyle w:val="Compact"/>
        <w:numPr>
          <w:ilvl w:val="0"/>
          <w:numId w:val="1005"/>
        </w:numPr>
      </w:pPr>
      <w:r>
        <w:t xml:space="preserve">Avoiding execution delays as new equipment is installed.</w:t>
      </w:r>
    </w:p>
    <w:p>
      <w:pPr>
        <w:pStyle w:val="FirstParagraph"/>
      </w:pPr>
      <w:r>
        <w:t xml:space="preserve">The market will want an update on the seventh customer agreement and whether demand has strengthened beyond the assumptions presented in May.</w:t>
      </w:r>
    </w:p>
    <w:bookmarkStart w:id="19" w:name="the-important-distinction"/>
    <w:p>
      <w:pPr>
        <w:pStyle w:val="Heading3"/>
      </w:pPr>
      <w:r>
        <w:t xml:space="preserve">The important distinction</w:t>
      </w:r>
    </w:p>
    <w:p>
      <w:pPr>
        <w:pStyle w:val="FirstParagraph"/>
      </w:pPr>
      <w:r>
        <w:t xml:space="preserve">A strong Q2 IGT number is encouraging, but</w:t>
      </w:r>
      <w:r>
        <w:t xml:space="preserve"> </w:t>
      </w:r>
      <w:r>
        <w:rPr>
          <w:b/>
          <w:bCs/>
        </w:rPr>
        <w:t xml:space="preserve">the more valuable information concerns 2027–2029</w:t>
      </w:r>
      <w:r>
        <w:t xml:space="preserve">:</w:t>
      </w:r>
    </w:p>
    <w:p>
      <w:pPr>
        <w:pStyle w:val="Compact"/>
        <w:numPr>
          <w:ilvl w:val="0"/>
          <w:numId w:val="1006"/>
        </w:numPr>
      </w:pPr>
      <w:r>
        <w:t xml:space="preserve">Has contracted demand increased?</w:t>
      </w:r>
    </w:p>
    <w:p>
      <w:pPr>
        <w:pStyle w:val="Compact"/>
        <w:numPr>
          <w:ilvl w:val="0"/>
          <w:numId w:val="1006"/>
        </w:numPr>
      </w:pPr>
      <w:r>
        <w:t xml:space="preserve">Is Howmet committing more capital?</w:t>
      </w:r>
    </w:p>
    <w:p>
      <w:pPr>
        <w:pStyle w:val="Compact"/>
        <w:numPr>
          <w:ilvl w:val="0"/>
          <w:numId w:val="1006"/>
        </w:numPr>
      </w:pPr>
      <w:r>
        <w:t xml:space="preserve">Are the investments protected by customer agreements?</w:t>
      </w:r>
    </w:p>
    <w:p>
      <w:pPr>
        <w:pStyle w:val="Compact"/>
        <w:numPr>
          <w:ilvl w:val="0"/>
          <w:numId w:val="1006"/>
        </w:numPr>
      </w:pPr>
      <w:r>
        <w:t xml:space="preserve">Can the company expand capacity without weakening free-cash-flow conversion?</w:t>
      </w:r>
    </w:p>
    <w:p>
      <w:pPr>
        <w:pStyle w:val="Compact"/>
        <w:numPr>
          <w:ilvl w:val="0"/>
          <w:numId w:val="1006"/>
        </w:numPr>
      </w:pPr>
      <w:r>
        <w:t xml:space="preserve">Is the previously discussed revenue-doubling scenario becoming more or less conservative?</w:t>
      </w:r>
    </w:p>
    <w:p>
      <w:pPr>
        <w:pStyle w:val="FirstParagraph"/>
      </w:pPr>
      <w:r>
        <w:t xml:space="preserve">A higher long-term IGT outlook would probably matter more to the stock than a few cents of Q2 EPS.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2" w:name="X78e4d37dcf74c6504885fd7d82ba1e124ce0e42"/>
    <w:p>
      <w:pPr>
        <w:pStyle w:val="Heading2"/>
      </w:pPr>
      <w:r>
        <w:t xml:space="preserve">3. CAM makes Q2’s Fastening Systems results harder to interpret</w:t>
      </w:r>
    </w:p>
    <w:p>
      <w:pPr>
        <w:pStyle w:val="FirstParagraph"/>
      </w:pPr>
      <w:r>
        <w:t xml:space="preserve">Howmet completed its approximately $1.8 billion acquisition of Consolidated Aerospace Manufacturing on April 6, making Q2 the first quarter with nearly a full contribution from CAM. Brunner, acquired in February, is also included.</w:t>
      </w:r>
    </w:p>
    <w:p>
      <w:pPr>
        <w:pStyle w:val="BodyText"/>
      </w:pPr>
      <w:r>
        <w:t xml:space="preserve">Management previously said its 2026 portfolio transactions should add approximately: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$275 million of revenue</w:t>
      </w:r>
      <w:r>
        <w:t xml:space="preserve"> </w:t>
      </w:r>
      <w:r>
        <w:t xml:space="preserve">for the remainder of 2026.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$60 million of EBITDA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Little immediate EPS because higher interest expense offsets operating accretion.</w:t>
      </w:r>
    </w:p>
    <w:p>
      <w:pPr>
        <w:pStyle w:val="Compact"/>
        <w:numPr>
          <w:ilvl w:val="0"/>
          <w:numId w:val="1007"/>
        </w:numPr>
      </w:pPr>
      <w:r>
        <w:t xml:space="preserve">Positive EPS accretion beginning in 2027.</w:t>
      </w:r>
    </w:p>
    <w:p>
      <w:pPr>
        <w:pStyle w:val="FirstParagraph"/>
      </w:pPr>
      <w:r>
        <w:t xml:space="preserve">Investors should separate three effects: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Reported Fastening Systems growth</w:t>
      </w:r>
      <w:r>
        <w:t xml:space="preserve">, boosted by acquisitions.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Organic aerospace-fastener demand</w:t>
      </w:r>
      <w:r>
        <w:t xml:space="preserve">, which indicates the underlying health of the business.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Acquisition margins and costs</w:t>
      </w:r>
      <w:r>
        <w:t xml:space="preserve">, including purchase-accounting effects and integration spending.</w:t>
      </w:r>
    </w:p>
    <w:bookmarkStart w:id="21" w:name="what-would-constitute-a-good-report"/>
    <w:p>
      <w:pPr>
        <w:pStyle w:val="Heading3"/>
      </w:pPr>
      <w:r>
        <w:t xml:space="preserve">What would constitute a good report?</w:t>
      </w:r>
    </w:p>
    <w:p>
      <w:pPr>
        <w:pStyle w:val="Compact"/>
        <w:numPr>
          <w:ilvl w:val="0"/>
          <w:numId w:val="1009"/>
        </w:numPr>
      </w:pPr>
      <w:r>
        <w:t xml:space="preserve">Fastening Systems margin remains near or above 30% despite CAM integration.</w:t>
      </w:r>
    </w:p>
    <w:p>
      <w:pPr>
        <w:pStyle w:val="Compact"/>
        <w:numPr>
          <w:ilvl w:val="0"/>
          <w:numId w:val="1009"/>
        </w:numPr>
      </w:pPr>
      <w:r>
        <w:t xml:space="preserve">Management identifies initial cost or revenue synergies.</w:t>
      </w:r>
    </w:p>
    <w:p>
      <w:pPr>
        <w:pStyle w:val="Compact"/>
        <w:numPr>
          <w:ilvl w:val="0"/>
          <w:numId w:val="1009"/>
        </w:numPr>
      </w:pPr>
      <w:r>
        <w:t xml:space="preserve">No changes to the expected 2027 EPS accretion.</w:t>
      </w:r>
    </w:p>
    <w:p>
      <w:pPr>
        <w:pStyle w:val="Compact"/>
        <w:numPr>
          <w:ilvl w:val="0"/>
          <w:numId w:val="1009"/>
        </w:numPr>
      </w:pPr>
      <w:r>
        <w:t xml:space="preserve">The acquisition does not distract from legacy operational performance.</w:t>
      </w:r>
    </w:p>
    <w:p>
      <w:pPr>
        <w:pStyle w:val="Compact"/>
        <w:numPr>
          <w:ilvl w:val="0"/>
          <w:numId w:val="1009"/>
        </w:numPr>
      </w:pPr>
      <w:r>
        <w:t xml:space="preserve">Deleveraging remains on schedule.</w:t>
      </w:r>
    </w:p>
    <w:p>
      <w:pPr>
        <w:pStyle w:val="FirstParagraph"/>
      </w:pPr>
      <w:r>
        <w:t xml:space="preserve">If reported growth is strong but margins decline sharply, investors may question whether CAM’s returns can match Howmet’s high organic reinvestment returns.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4" w:name="X8cc159b710a45f568377b52566b2669553af62e"/>
    <w:p>
      <w:pPr>
        <w:pStyle w:val="Heading2"/>
      </w:pPr>
      <w:r>
        <w:t xml:space="preserve">4. The margin bar may be more important than the revenue beat</w:t>
      </w:r>
    </w:p>
    <w:p>
      <w:pPr>
        <w:pStyle w:val="FirstParagraph"/>
      </w:pPr>
      <w:r>
        <w:t xml:space="preserve">Q1 adjusted EBITDA margin reached a record</w:t>
      </w:r>
      <w:r>
        <w:t xml:space="preserve"> </w:t>
      </w:r>
      <w:r>
        <w:rPr>
          <w:b/>
          <w:bCs/>
        </w:rPr>
        <w:t xml:space="preserve">32.0%</w:t>
      </w:r>
      <w:r>
        <w:t xml:space="preserve">, and Q2 guidance calls for 31.8%–32.0%. The midpoint assumes roughly 51% year-over-year incremental EBITDA flow-through.</w:t>
      </w:r>
    </w:p>
    <w:p>
      <w:pPr>
        <w:pStyle w:val="BodyText"/>
      </w:pPr>
      <w:r>
        <w:t xml:space="preserve">That is an exceptional level for a manufacturing company simultaneously:</w:t>
      </w:r>
    </w:p>
    <w:p>
      <w:pPr>
        <w:pStyle w:val="Compact"/>
        <w:numPr>
          <w:ilvl w:val="0"/>
          <w:numId w:val="1010"/>
        </w:numPr>
      </w:pPr>
      <w:r>
        <w:t xml:space="preserve">Adding employees.</w:t>
      </w:r>
    </w:p>
    <w:p>
      <w:pPr>
        <w:pStyle w:val="Compact"/>
        <w:numPr>
          <w:ilvl w:val="0"/>
          <w:numId w:val="1010"/>
        </w:numPr>
      </w:pPr>
      <w:r>
        <w:t xml:space="preserve">Launching new programs.</w:t>
      </w:r>
    </w:p>
    <w:p>
      <w:pPr>
        <w:pStyle w:val="Compact"/>
        <w:numPr>
          <w:ilvl w:val="0"/>
          <w:numId w:val="1010"/>
        </w:numPr>
      </w:pPr>
      <w:r>
        <w:t xml:space="preserve">Increasing capital expenditures.</w:t>
      </w:r>
    </w:p>
    <w:p>
      <w:pPr>
        <w:pStyle w:val="Compact"/>
        <w:numPr>
          <w:ilvl w:val="0"/>
          <w:numId w:val="1010"/>
        </w:numPr>
      </w:pPr>
      <w:r>
        <w:t xml:space="preserve">Integrating acquisitions.</w:t>
      </w:r>
    </w:p>
    <w:p>
      <w:pPr>
        <w:pStyle w:val="Compact"/>
        <w:numPr>
          <w:ilvl w:val="0"/>
          <w:numId w:val="1010"/>
        </w:numPr>
      </w:pPr>
      <w:r>
        <w:t xml:space="preserve">Absorbing higher interest expense.</w:t>
      </w:r>
    </w:p>
    <w:p>
      <w:pPr>
        <w:pStyle w:val="Compact"/>
        <w:numPr>
          <w:ilvl w:val="0"/>
          <w:numId w:val="1010"/>
        </w:numPr>
      </w:pPr>
      <w:r>
        <w:t xml:space="preserve">Managing inflation, tariffs and energy-market volatility.</w:t>
      </w:r>
    </w:p>
    <w:p>
      <w:pPr>
        <w:pStyle w:val="FirstParagraph"/>
      </w:pPr>
      <w:r>
        <w:t xml:space="preserve">The bull case requires Howmet to show that its margins reflect structural factors—technology, pricing, product mix, vertical integration and yield improvement—rather than unusually favorable quarterly timing.</w:t>
      </w:r>
    </w:p>
    <w:bookmarkStart w:id="23" w:name="key-threshold"/>
    <w:p>
      <w:pPr>
        <w:pStyle w:val="Heading3"/>
      </w:pPr>
      <w:r>
        <w:t xml:space="preserve">Key threshold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Above 32%:</w:t>
      </w:r>
      <w:r>
        <w:t xml:space="preserve"> </w:t>
      </w:r>
      <w:r>
        <w:t xml:space="preserve">Strong evidence that the earnings model continues to outperform.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Around 31.8%–32.0%:</w:t>
      </w:r>
      <w:r>
        <w:t xml:space="preserve"> </w:t>
      </w:r>
      <w:r>
        <w:t xml:space="preserve">Solid and consistent with guidance.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Below 31.5%:</w:t>
      </w:r>
      <w:r>
        <w:t xml:space="preserve"> </w:t>
      </w:r>
      <w:r>
        <w:t xml:space="preserve">Likely to raise questions about acquisition dilution, hiring costs or manufacturing constraints.</w:t>
      </w:r>
    </w:p>
    <w:p>
      <w:pPr>
        <w:pStyle w:val="FirstParagraph"/>
      </w:pPr>
      <w:r>
        <w:t xml:space="preserve">An EPS beat caused mainly by tax, share count or non-operating items would be lower quality than an EBITDA-driven beat.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5" w:name="X7e604c8f94c536792e9016b2de1f2e4a64ee8e2"/>
    <w:p>
      <w:pPr>
        <w:pStyle w:val="Heading2"/>
      </w:pPr>
      <w:r>
        <w:t xml:space="preserve">5. Cash flow, capital expenditure and deleveraging</w:t>
      </w:r>
    </w:p>
    <w:p>
      <w:pPr>
        <w:pStyle w:val="FirstParagraph"/>
      </w:pPr>
      <w:r>
        <w:t xml:space="preserve">Howmet produced record first-quarter free cash flow of $359 million and guided to</w:t>
      </w:r>
      <w:r>
        <w:t xml:space="preserve"> </w:t>
      </w:r>
      <m:oMath>
        <m:r>
          <m:t>1.70</m:t>
        </m:r>
        <m:r>
          <m:rPr>
            <m:sty m:val="p"/>
          </m:rPr>
          <m:t>–</m:t>
        </m:r>
      </m:oMath>
      <w:r>
        <w:t xml:space="preserve">1.80 billion for the year despite approximately $500 million of planned capital spending.</w:t>
      </w:r>
    </w:p>
    <w:p>
      <w:pPr>
        <w:pStyle w:val="BodyText"/>
      </w:pPr>
      <w:r>
        <w:t xml:space="preserve">The company also entered Q2 with post-CAM net leverage of roughly 1.6 times, which management expected to decline rapidly toward approximately 1 times by year-end.</w:t>
      </w:r>
    </w:p>
    <w:p>
      <w:pPr>
        <w:pStyle w:val="BodyText"/>
      </w:pPr>
      <w:r>
        <w:t xml:space="preserve">Investors should look for:</w:t>
      </w:r>
    </w:p>
    <w:p>
      <w:pPr>
        <w:pStyle w:val="Compact"/>
        <w:numPr>
          <w:ilvl w:val="0"/>
          <w:numId w:val="1012"/>
        </w:numPr>
      </w:pPr>
      <w:r>
        <w:t xml:space="preserve">Higher or reaffirmed free-cash-flow guidance.</w:t>
      </w:r>
    </w:p>
    <w:p>
      <w:pPr>
        <w:pStyle w:val="Compact"/>
        <w:numPr>
          <w:ilvl w:val="0"/>
          <w:numId w:val="1012"/>
        </w:numPr>
      </w:pPr>
      <w:r>
        <w:t xml:space="preserve">Working-capital discipline as production expands.</w:t>
      </w:r>
    </w:p>
    <w:p>
      <w:pPr>
        <w:pStyle w:val="Compact"/>
        <w:numPr>
          <w:ilvl w:val="0"/>
          <w:numId w:val="1012"/>
        </w:numPr>
      </w:pPr>
      <w:r>
        <w:t xml:space="preserve">Confirmation that capital spending remains supported by customer contracts.</w:t>
      </w:r>
    </w:p>
    <w:p>
      <w:pPr>
        <w:pStyle w:val="Compact"/>
        <w:numPr>
          <w:ilvl w:val="0"/>
          <w:numId w:val="1012"/>
        </w:numPr>
      </w:pPr>
      <w:r>
        <w:t xml:space="preserve">Progress repaying commercial paper or acquisition-related debt.</w:t>
      </w:r>
    </w:p>
    <w:p>
      <w:pPr>
        <w:pStyle w:val="Compact"/>
        <w:numPr>
          <w:ilvl w:val="0"/>
          <w:numId w:val="1012"/>
        </w:numPr>
      </w:pPr>
      <w:r>
        <w:t xml:space="preserve">The balance between deleveraging and share repurchases.</w:t>
      </w:r>
    </w:p>
    <w:p>
      <w:pPr>
        <w:pStyle w:val="FirstParagraph"/>
      </w:pPr>
      <w:r>
        <w:t xml:space="preserve">The strongest outcome would be a simultaneous increase in earnings, capital spending and free-cash-flow guidance. That would demonstrate that Howmet can fund its growth cycle without sacrificing shareholder returns.</w:t>
      </w:r>
    </w:p>
    <w:p>
      <w:r>
        <w:pict>
          <v:rect style="width:0;height:1.5pt" o:hralign="center" o:hrstd="t" o:hr="t"/>
        </w:pict>
      </w:r>
    </w:p>
    <w:bookmarkEnd w:id="25"/>
    <w:bookmarkStart w:id="26" w:name="X007c4921b825cac90847257607beb4d270b527f"/>
    <w:p>
      <w:pPr>
        <w:pStyle w:val="Heading2"/>
      </w:pPr>
      <w:r>
        <w:t xml:space="preserve">6. Forged Wheels remains the main cyclical offset</w:t>
      </w:r>
    </w:p>
    <w:p>
      <w:pPr>
        <w:pStyle w:val="FirstParagraph"/>
      </w:pPr>
      <w:r>
        <w:t xml:space="preserve">Commercial transportation was the weakest end market in Q1. Forged Wheels volume declined 11%, although pricing, aluminum and tariff pass-through, favorable mix and cost control drove segment EBITDA up 32%.</w:t>
      </w:r>
    </w:p>
    <w:p>
      <w:pPr>
        <w:pStyle w:val="BodyText"/>
      </w:pPr>
      <w:r>
        <w:t xml:space="preserve">Management had assumed less than 5% full-year commercial-transportation growth despite improving customer schedules. Potential pre-buy activity before 2027 North American emissions regulations could provide upside, but fuel prices and the broader freight environment remain risks.</w:t>
      </w:r>
    </w:p>
    <w:p>
      <w:pPr>
        <w:pStyle w:val="BodyText"/>
      </w:pPr>
      <w:r>
        <w:t xml:space="preserve">This segment is unlikely to determine the quarter unless:</w:t>
      </w:r>
    </w:p>
    <w:p>
      <w:pPr>
        <w:pStyle w:val="Compact"/>
        <w:numPr>
          <w:ilvl w:val="0"/>
          <w:numId w:val="1013"/>
        </w:numPr>
      </w:pPr>
      <w:r>
        <w:t xml:space="preserve">Truck demand deteriorates materially; or</w:t>
      </w:r>
    </w:p>
    <w:p>
      <w:pPr>
        <w:pStyle w:val="Compact"/>
        <w:numPr>
          <w:ilvl w:val="0"/>
          <w:numId w:val="1013"/>
        </w:numPr>
      </w:pPr>
      <w:r>
        <w:t xml:space="preserve">Howmet meaningfully raises its transportation outlook.</w:t>
      </w:r>
    </w:p>
    <w:p>
      <w:pPr>
        <w:pStyle w:val="FirstParagraph"/>
      </w:pPr>
      <w:r>
        <w:t xml:space="preserve">Continued 30%-plus Wheels margins despite weak volumes would reinforce the segment’s resilience.</w:t>
      </w:r>
    </w:p>
    <w:p>
      <w:r>
        <w:pict>
          <v:rect style="width:0;height:1.5pt" o:hralign="center" o:hrstd="t" o:hr="t"/>
        </w:pict>
      </w:r>
    </w:p>
    <w:bookmarkEnd w:id="26"/>
    <w:bookmarkStart w:id="27" w:name="valuation-and-the-earnings-bar"/>
    <w:p>
      <w:pPr>
        <w:pStyle w:val="Heading2"/>
      </w:pPr>
      <w:r>
        <w:t xml:space="preserve">Valuation and the earnings bar</w:t>
      </w:r>
    </w:p>
    <w:p>
      <w:pPr>
        <w:pStyle w:val="FirstParagraph"/>
      </w:pPr>
      <w:r>
        <w:t xml:space="preserve">HWM closed August 5 at approximately</w:t>
      </w:r>
      <w:r>
        <w:t xml:space="preserve"> </w:t>
      </w:r>
      <w:r>
        <w:rPr>
          <w:b/>
          <w:bCs/>
        </w:rPr>
        <w:t xml:space="preserve">$291.46</w:t>
      </w:r>
      <w:r>
        <w:t xml:space="preserve">, up about</w:t>
      </w:r>
      <w:r>
        <w:t xml:space="preserve"> </w:t>
      </w:r>
      <w:r>
        <w:rPr>
          <w:b/>
          <w:bCs/>
        </w:rPr>
        <w:t xml:space="preserve">38% from the first trading day of 2026</w:t>
      </w:r>
      <w:r>
        <w:t xml:space="preserve"> </w:t>
      </w:r>
      <w:r>
        <w:t xml:space="preserve">and roughly 14% from the day before its Q1 report. At that price, the stock trades around</w:t>
      </w:r>
      <w:r>
        <w:t xml:space="preserve"> </w:t>
      </w:r>
      <w:r>
        <w:rPr>
          <w:b/>
          <w:bCs/>
        </w:rPr>
        <w:t xml:space="preserve">58 times a $5.05 FY2026 EPS estimate</w:t>
      </w:r>
      <w:r>
        <w:t xml:space="preserve">.</w:t>
      </w:r>
    </w:p>
    <w:p>
      <w:pPr>
        <w:pStyle w:val="BodyText"/>
      </w:pPr>
      <w:r>
        <w:t xml:space="preserve">That valuation reflects confidence in:</w:t>
      </w:r>
    </w:p>
    <w:p>
      <w:pPr>
        <w:pStyle w:val="Compact"/>
        <w:numPr>
          <w:ilvl w:val="0"/>
          <w:numId w:val="1014"/>
        </w:numPr>
      </w:pPr>
      <w:r>
        <w:t xml:space="preserve">Sustained double-digit aerospace growth.</w:t>
      </w:r>
    </w:p>
    <w:p>
      <w:pPr>
        <w:pStyle w:val="Compact"/>
        <w:numPr>
          <w:ilvl w:val="0"/>
          <w:numId w:val="1014"/>
        </w:numPr>
      </w:pPr>
      <w:r>
        <w:t xml:space="preserve">Long-lived engine aftermarket demand.</w:t>
      </w:r>
    </w:p>
    <w:p>
      <w:pPr>
        <w:pStyle w:val="Compact"/>
        <w:numPr>
          <w:ilvl w:val="0"/>
          <w:numId w:val="1014"/>
        </w:numPr>
      </w:pPr>
      <w:r>
        <w:t xml:space="preserve">IGT becoming a major incremental growth engine.</w:t>
      </w:r>
    </w:p>
    <w:p>
      <w:pPr>
        <w:pStyle w:val="Compact"/>
        <w:numPr>
          <w:ilvl w:val="0"/>
          <w:numId w:val="1014"/>
        </w:numPr>
      </w:pPr>
      <w:r>
        <w:t xml:space="preserve">Further margin expansion.</w:t>
      </w:r>
    </w:p>
    <w:p>
      <w:pPr>
        <w:pStyle w:val="Compact"/>
        <w:numPr>
          <w:ilvl w:val="0"/>
          <w:numId w:val="1014"/>
        </w:numPr>
      </w:pPr>
      <w:r>
        <w:t xml:space="preserve">Strong cash conversion.</w:t>
      </w:r>
    </w:p>
    <w:p>
      <w:pPr>
        <w:pStyle w:val="Compact"/>
        <w:numPr>
          <w:ilvl w:val="0"/>
          <w:numId w:val="1014"/>
        </w:numPr>
      </w:pPr>
      <w:r>
        <w:t xml:space="preserve">Limited competitive pressure in mission-critical components.</w:t>
      </w:r>
    </w:p>
    <w:p>
      <w:pPr>
        <w:pStyle w:val="FirstParagraph"/>
      </w:pPr>
      <w:r>
        <w:t xml:space="preserve">Consequently,</w:t>
      </w:r>
      <w:r>
        <w:t xml:space="preserve"> </w:t>
      </w:r>
      <w:r>
        <w:rPr>
          <w:b/>
          <w:bCs/>
        </w:rPr>
        <w:t xml:space="preserve">a conventional one- or two-cent EPS beat may not be enough</w:t>
      </w:r>
      <w:r>
        <w:t xml:space="preserve">. Investors likely need some combination of:</w:t>
      </w:r>
    </w:p>
    <w:p>
      <w:pPr>
        <w:pStyle w:val="Compact"/>
        <w:numPr>
          <w:ilvl w:val="0"/>
          <w:numId w:val="1015"/>
        </w:numPr>
      </w:pPr>
      <w:r>
        <w:t xml:space="preserve">Revenue and EBITDA above the top of guidance.</w:t>
      </w:r>
    </w:p>
    <w:p>
      <w:pPr>
        <w:pStyle w:val="Compact"/>
        <w:numPr>
          <w:ilvl w:val="0"/>
          <w:numId w:val="1015"/>
        </w:numPr>
      </w:pPr>
      <w:r>
        <w:t xml:space="preserve">A higher full-year outlook.</w:t>
      </w:r>
    </w:p>
    <w:p>
      <w:pPr>
        <w:pStyle w:val="Compact"/>
        <w:numPr>
          <w:ilvl w:val="0"/>
          <w:numId w:val="1015"/>
        </w:numPr>
      </w:pPr>
      <w:r>
        <w:t xml:space="preserve">Stronger organic-growth assumptions.</w:t>
      </w:r>
    </w:p>
    <w:p>
      <w:pPr>
        <w:pStyle w:val="Compact"/>
        <w:numPr>
          <w:ilvl w:val="0"/>
          <w:numId w:val="1015"/>
        </w:numPr>
      </w:pPr>
      <w:r>
        <w:t xml:space="preserve">At least stable margin guidance.</w:t>
      </w:r>
    </w:p>
    <w:p>
      <w:pPr>
        <w:pStyle w:val="Compact"/>
        <w:numPr>
          <w:ilvl w:val="0"/>
          <w:numId w:val="1015"/>
        </w:numPr>
      </w:pPr>
      <w:r>
        <w:t xml:space="preserve">Positive 2027 commentary.</w:t>
      </w:r>
    </w:p>
    <w:p>
      <w:pPr>
        <w:pStyle w:val="Compact"/>
        <w:numPr>
          <w:ilvl w:val="0"/>
          <w:numId w:val="1015"/>
        </w:numPr>
      </w:pPr>
      <w:r>
        <w:t xml:space="preserve">Confirmation that capacity—not customer demand—is the principal constraint.</w:t>
      </w:r>
    </w:p>
    <w:p>
      <w:r>
        <w:pict>
          <v:rect style="width:0;height:1.5pt" o:hralign="center" o:hrstd="t" o:hr="t"/>
        </w:pict>
      </w:r>
    </w:p>
    <w:bookmarkEnd w:id="27"/>
    <w:bookmarkStart w:id="31" w:name="scenario-framework"/>
    <w:p>
      <w:pPr>
        <w:pStyle w:val="Heading2"/>
      </w:pPr>
      <w:r>
        <w:t xml:space="preserve">Scenario framework</w:t>
      </w:r>
    </w:p>
    <w:bookmarkStart w:id="28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6"/>
        </w:numPr>
      </w:pPr>
      <w:r>
        <w:t xml:space="preserve">Revenue above $2.43 billion.</w:t>
      </w:r>
    </w:p>
    <w:p>
      <w:pPr>
        <w:pStyle w:val="Compact"/>
        <w:numPr>
          <w:ilvl w:val="0"/>
          <w:numId w:val="1016"/>
        </w:numPr>
      </w:pPr>
      <w:r>
        <w:t xml:space="preserve">Adjusted EBITDA above $770 million.</w:t>
      </w:r>
    </w:p>
    <w:p>
      <w:pPr>
        <w:pStyle w:val="Compact"/>
        <w:numPr>
          <w:ilvl w:val="0"/>
          <w:numId w:val="1016"/>
        </w:numPr>
      </w:pPr>
      <w:r>
        <w:t xml:space="preserve">Margin above 32%.</w:t>
      </w:r>
    </w:p>
    <w:p>
      <w:pPr>
        <w:pStyle w:val="Compact"/>
        <w:numPr>
          <w:ilvl w:val="0"/>
          <w:numId w:val="1016"/>
        </w:numPr>
      </w:pPr>
      <w:r>
        <w:t xml:space="preserve">Adjusted EPS of at least</w:t>
      </w:r>
      <w:r>
        <w:t xml:space="preserve"> </w:t>
      </w:r>
      <m:oMath>
        <m:r>
          <m:t>1.25</m:t>
        </m:r>
        <m:r>
          <m:rPr>
            <m:sty m:val="p"/>
          </m:rPr>
          <m:t>–</m:t>
        </m:r>
      </m:oMath>
      <w:r>
        <w:t xml:space="preserve">1.26.</w:t>
      </w:r>
    </w:p>
    <w:p>
      <w:pPr>
        <w:pStyle w:val="Compact"/>
        <w:numPr>
          <w:ilvl w:val="0"/>
          <w:numId w:val="1016"/>
        </w:numPr>
      </w:pPr>
      <w:r>
        <w:t xml:space="preserve">FY revenue guidance raised to roughly $9.75 billion or more.</w:t>
      </w:r>
    </w:p>
    <w:p>
      <w:pPr>
        <w:pStyle w:val="Compact"/>
        <w:numPr>
          <w:ilvl w:val="0"/>
          <w:numId w:val="1016"/>
        </w:numPr>
      </w:pPr>
      <w:r>
        <w:t xml:space="preserve">FY adjusted EPS guidance moved above the existing $5.00 ceiling.</w:t>
      </w:r>
    </w:p>
    <w:p>
      <w:pPr>
        <w:pStyle w:val="Compact"/>
        <w:numPr>
          <w:ilvl w:val="0"/>
          <w:numId w:val="1016"/>
        </w:numPr>
      </w:pPr>
      <w:r>
        <w:t xml:space="preserve">Free-cash-flow guidance raised.</w:t>
      </w:r>
    </w:p>
    <w:p>
      <w:pPr>
        <w:pStyle w:val="Compact"/>
        <w:numPr>
          <w:ilvl w:val="0"/>
          <w:numId w:val="1016"/>
        </w:numPr>
      </w:pPr>
      <w:r>
        <w:t xml:space="preserve">Strong IGT and engine-spares commentary.</w:t>
      </w:r>
    </w:p>
    <w:bookmarkEnd w:id="28"/>
    <w:bookmarkStart w:id="29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7"/>
        </w:numPr>
      </w:pPr>
      <w:r>
        <w:t xml:space="preserve">Results around the top of guidance.</w:t>
      </w:r>
    </w:p>
    <w:p>
      <w:pPr>
        <w:pStyle w:val="Compact"/>
        <w:numPr>
          <w:ilvl w:val="0"/>
          <w:numId w:val="1017"/>
        </w:numPr>
      </w:pPr>
      <w:r>
        <w:t xml:space="preserve">Adjusted EPS of</w:t>
      </w:r>
      <w:r>
        <w:t xml:space="preserve"> </w:t>
      </w:r>
      <m:oMath>
        <m:r>
          <m:t>1.23</m:t>
        </m:r>
        <m:r>
          <m:rPr>
            <m:sty m:val="p"/>
          </m:rPr>
          <m:t>–</m:t>
        </m:r>
      </m:oMath>
      <w:r>
        <w:t xml:space="preserve">1.25.</w:t>
      </w:r>
    </w:p>
    <w:p>
      <w:pPr>
        <w:pStyle w:val="Compact"/>
        <w:numPr>
          <w:ilvl w:val="0"/>
          <w:numId w:val="1017"/>
        </w:numPr>
      </w:pPr>
      <w:r>
        <w:t xml:space="preserve">Modest increase in full-year revenue, EBITDA and EPS guidance.</w:t>
      </w:r>
    </w:p>
    <w:p>
      <w:pPr>
        <w:pStyle w:val="Compact"/>
        <w:numPr>
          <w:ilvl w:val="0"/>
          <w:numId w:val="1017"/>
        </w:numPr>
      </w:pPr>
      <w:r>
        <w:t xml:space="preserve">Margins remain around 32%.</w:t>
      </w:r>
    </w:p>
    <w:p>
      <w:pPr>
        <w:pStyle w:val="Compact"/>
        <w:numPr>
          <w:ilvl w:val="0"/>
          <w:numId w:val="1017"/>
        </w:numPr>
      </w:pPr>
      <w:r>
        <w:t xml:space="preserve">Management retains some conservatism around macro conditions and capacity timing.</w:t>
      </w:r>
    </w:p>
    <w:bookmarkEnd w:id="29"/>
    <w:bookmarkStart w:id="30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8"/>
        </w:numPr>
      </w:pPr>
      <w:r>
        <w:t xml:space="preserve">Revenue or EBITDA only around the midpoint of guidance.</w:t>
      </w:r>
    </w:p>
    <w:p>
      <w:pPr>
        <w:pStyle w:val="Compact"/>
        <w:numPr>
          <w:ilvl w:val="0"/>
          <w:numId w:val="1018"/>
        </w:numPr>
      </w:pPr>
      <w:r>
        <w:t xml:space="preserve">Margin falls below the guided range.</w:t>
      </w:r>
    </w:p>
    <w:p>
      <w:pPr>
        <w:pStyle w:val="Compact"/>
        <w:numPr>
          <w:ilvl w:val="0"/>
          <w:numId w:val="1018"/>
        </w:numPr>
      </w:pPr>
      <w:r>
        <w:t xml:space="preserve">Full-year guidance is merely reaffirmed.</w:t>
      </w:r>
    </w:p>
    <w:p>
      <w:pPr>
        <w:pStyle w:val="Compact"/>
        <w:numPr>
          <w:ilvl w:val="0"/>
          <w:numId w:val="1018"/>
        </w:numPr>
      </w:pPr>
      <w:r>
        <w:t xml:space="preserve">CAM integration creates more margin dilution than expected.</w:t>
      </w:r>
    </w:p>
    <w:p>
      <w:pPr>
        <w:pStyle w:val="Compact"/>
        <w:numPr>
          <w:ilvl w:val="0"/>
          <w:numId w:val="1018"/>
        </w:numPr>
      </w:pPr>
      <w:r>
        <w:t xml:space="preserve">IGT capacity comes online later than planned.</w:t>
      </w:r>
    </w:p>
    <w:p>
      <w:pPr>
        <w:pStyle w:val="Compact"/>
        <w:numPr>
          <w:ilvl w:val="0"/>
          <w:numId w:val="1018"/>
        </w:numPr>
      </w:pPr>
      <w:r>
        <w:t xml:space="preserve">Free-cash-flow guidance fails to rise despite stronger earnings.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2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Howmet’s operating setup remains among the strongest in aerospace: commercial OE demand is improving, aftermarket activity is robust, defense remains healthy, and gas-turbine demand provides an additional growth cycle. The Q2 report should reflect those tailwinds.</w:t>
      </w:r>
    </w:p>
    <w:p>
      <w:pPr>
        <w:pStyle w:val="BodyText"/>
      </w:pPr>
      <w:r>
        <w:t xml:space="preserve">But the stock’s valuation means the market is already assuming substantial execution. The most important issue is not whether Howmet beats the Q2 EPS consensus; it is whether management can</w:t>
      </w:r>
      <w:r>
        <w:t xml:space="preserve"> </w:t>
      </w:r>
      <w:r>
        <w:rPr>
          <w:b/>
          <w:bCs/>
        </w:rPr>
        <w:t xml:space="preserve">raise the multi-year earnings trajectory while preserving roughly 32% margins and strong cash conversion</w:t>
      </w:r>
      <w:r>
        <w:t xml:space="preserve">.</w:t>
      </w:r>
    </w:p>
    <w:p>
      <w:pPr>
        <w:pStyle w:val="BodyText"/>
      </w:pPr>
      <w:r>
        <w:t xml:space="preserve">The cleanest positive report would include:</w:t>
      </w:r>
    </w:p>
    <w:p>
      <w:pPr>
        <w:pStyle w:val="Compact"/>
        <w:numPr>
          <w:ilvl w:val="0"/>
          <w:numId w:val="1019"/>
        </w:numPr>
      </w:pPr>
      <w:r>
        <w:t xml:space="preserve">A high-quality EBITDA-led Q2 beat.</w:t>
      </w:r>
    </w:p>
    <w:p>
      <w:pPr>
        <w:pStyle w:val="Compact"/>
        <w:numPr>
          <w:ilvl w:val="0"/>
          <w:numId w:val="1019"/>
        </w:numPr>
      </w:pPr>
      <w:r>
        <w:t xml:space="preserve">A meaningful full-year guidance increase.</w:t>
      </w:r>
    </w:p>
    <w:p>
      <w:pPr>
        <w:pStyle w:val="Compact"/>
        <w:numPr>
          <w:ilvl w:val="0"/>
          <w:numId w:val="1019"/>
        </w:numPr>
      </w:pPr>
      <w:r>
        <w:t xml:space="preserve">Continued strength in engine spares and IGT.</w:t>
      </w:r>
    </w:p>
    <w:p>
      <w:pPr>
        <w:pStyle w:val="Compact"/>
        <w:numPr>
          <w:ilvl w:val="0"/>
          <w:numId w:val="1019"/>
        </w:numPr>
      </w:pPr>
      <w:r>
        <w:t xml:space="preserve">Minimal CAM margin dilution.</w:t>
      </w:r>
    </w:p>
    <w:p>
      <w:pPr>
        <w:pStyle w:val="Compact"/>
        <w:numPr>
          <w:ilvl w:val="0"/>
          <w:numId w:val="1019"/>
        </w:numPr>
      </w:pPr>
      <w:r>
        <w:t xml:space="preserve">Higher free cash flow despite elevated investment.</w:t>
      </w:r>
    </w:p>
    <w:p>
      <w:pPr>
        <w:pStyle w:val="Compact"/>
        <w:numPr>
          <w:ilvl w:val="0"/>
          <w:numId w:val="1019"/>
        </w:numPr>
      </w:pPr>
      <w:r>
        <w:t xml:space="preserve">Constructive commentary on 2027 capacity and demand.</w:t>
      </w:r>
    </w:p>
    <w:p>
      <w:pPr>
        <w:pStyle w:val="FirstParagraph"/>
      </w:pPr>
      <w:r>
        <w:t xml:space="preserve">Absent those elements, even objectively strong results could be viewed as insufficient for the stock’s current expectations.</w:t>
      </w:r>
    </w:p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https://investors.boeing.com/investors/news/press-release-details/2026/Boeing-Announces-Second-Quarter-Deliveries/default.aspx?utm_source=openai" TargetMode="External" /><Relationship Type="http://schemas.openxmlformats.org/officeDocument/2006/relationships/hyperlink" Id="rId11" Target="https://www.barchart.com/stocks/quotes/hwm/earnings-estimates?utm_source=openai" TargetMode="External" /><Relationship Type="http://schemas.openxmlformats.org/officeDocument/2006/relationships/hyperlink" Id="rId9" Target="https://www.benzinga.com/quote/HWM/earnings?utm_source=openai" TargetMode="External" /><Relationship Type="http://schemas.openxmlformats.org/officeDocument/2006/relationships/hyperlink" Id="rId14" Target="https://www.geaerospace.com/news/press-releases/ge-aerospace-announces-second-quarter-2026-results?utm_source=openai" TargetMode="External" /><Relationship Type="http://schemas.openxmlformats.org/officeDocument/2006/relationships/hyperlink" Id="rId15" Target="https://www.rtx.com/news/news-center/2026/07/23/rtx-reports-q2-2026-results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https://investors.boeing.com/investors/news/press-release-details/2026/Boeing-Announces-Second-Quarter-Deliveries/default.aspx?utm_source=openai" TargetMode="External" /><Relationship Type="http://schemas.openxmlformats.org/officeDocument/2006/relationships/hyperlink" Id="rId11" Target="https://www.barchart.com/stocks/quotes/hwm/earnings-estimates?utm_source=openai" TargetMode="External" /><Relationship Type="http://schemas.openxmlformats.org/officeDocument/2006/relationships/hyperlink" Id="rId9" Target="https://www.benzinga.com/quote/HWM/earnings?utm_source=openai" TargetMode="External" /><Relationship Type="http://schemas.openxmlformats.org/officeDocument/2006/relationships/hyperlink" Id="rId14" Target="https://www.geaerospace.com/news/press-releases/ge-aerospace-announces-second-quarter-2026-results?utm_source=openai" TargetMode="External" /><Relationship Type="http://schemas.openxmlformats.org/officeDocument/2006/relationships/hyperlink" Id="rId15" Target="https://www.rtx.com/news/news-center/2026/07/23/rtx-reports-q2-2026-results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2026-08-06T00:40:02Z</dcterms:created>
  <dcterms:modified xsi:type="dcterms:W3CDTF">2026-08-06T00:40:02Z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