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Howmet Aerospace (HWM)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Howmet Aerospace Inc.</w:t>
            </w:r>
          </w:p>
        </w:tc>
      </w:tr>
      <w:tr>
        <w:tc>
          <w:tcPr>
            <w:tcW w:type="dxa" w:w="4320"/>
          </w:tcPr>
          <w:p>
            <w:r>
              <w:rPr>
                <w:rFonts w:ascii="Calibri" w:hAnsi="Calibri"/>
                <w:b/>
                <w:sz w:val="22"/>
              </w:rPr>
              <w:t>Ticker</w:t>
            </w:r>
          </w:p>
        </w:tc>
        <w:tc>
          <w:tcPr>
            <w:tcW w:type="dxa" w:w="4320"/>
          </w:tcPr>
          <w:p>
            <w:r>
              <w:rPr>
                <w:rFonts w:ascii="Calibri" w:hAnsi="Calibri"/>
                <w:sz w:val="22"/>
              </w:rPr>
              <w:t>NYSE: HWM</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(pre-market, 7:00 AM ET; call at 10:00 AM ET)</w:t>
            </w:r>
          </w:p>
        </w:tc>
      </w:tr>
      <w:tr>
        <w:tc>
          <w:tcPr>
            <w:tcW w:type="dxa" w:w="4320"/>
          </w:tcPr>
          <w:p>
            <w:r>
              <w:rPr>
                <w:rFonts w:ascii="Calibri" w:hAnsi="Calibri"/>
                <w:b/>
                <w:sz w:val="22"/>
              </w:rPr>
              <w:t>Prepared Date</w:t>
            </w:r>
          </w:p>
        </w:tc>
        <w:tc>
          <w:tcPr>
            <w:tcW w:type="dxa" w:w="4320"/>
          </w:tcPr>
          <w:p>
            <w:r>
              <w:rPr>
                <w:rFonts w:ascii="Calibri" w:hAnsi="Calibri"/>
                <w:sz w:val="22"/>
              </w:rPr>
              <w:t>August 5, 2026</w:t>
            </w:r>
          </w:p>
        </w:tc>
      </w:tr>
      <w:tr>
        <w:tc>
          <w:tcPr>
            <w:tcW w:type="dxa" w:w="4320"/>
          </w:tcPr>
          <w:p>
            <w:r>
              <w:rPr>
                <w:rFonts w:ascii="Calibri" w:hAnsi="Calibri"/>
                <w:b/>
                <w:sz w:val="22"/>
              </w:rPr>
              <w:t>Sector ETF Used</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skews to beat — consensus sits at the high end of guidance, but HWM has a consistent track record of exceeding the top of its own range, and the biggest swing factor is whether gas turbine (IGT) revenue growth sustains its Q1 pace of +39% YoY into Q2.</w:t>
      </w:r>
    </w:p>
    <w:p>
      <w:r>
        <w:rPr>
          <w:rFonts w:ascii="Calibri" w:hAnsi="Calibri"/>
          <w:color w:val="525866"/>
          <w:sz w:val="22"/>
        </w:rPr>
        <w:t xml:space="preserve">Heading into Q2 2026 results, the bar is firm but not stretched: consensus revenue of ~$2.43B and operating EPS of ~$1.25 sit at the top of management's guided range ($2.39–2.41B revenue, $1.22–1.24 EPS), leaving limited room for a miss but meaningful upside if execution tracks Q1's momentum. Management's posture has been consistently confident since the May 7 print — at the Bernstein conference in June, John Plant reiterated that commercial aerospace demand is tracking the ~20% full-year growth assumption, gas turbine demand is broadening beyond large OEMs to small/mid-sized manufacturers and LNG applications, and six of seven major IGT customer contracts have been finalized (the seventh, described as a "very significant" customer, was expected to close during Q2). </w:t>
      </w:r>
      <w:r>
        <w:rPr>
          <w:rFonts w:ascii="Calibri" w:hAnsi="Calibri"/>
          <w:b/>
          <w:color w:val="525866"/>
          <w:sz w:val="22"/>
        </w:rPr>
        <w:t>Estimate revisions have been essentially flat since the Q1 print</w:t>
      </w:r>
      <w:r>
        <w:rPr>
          <w:rFonts w:ascii="Calibri" w:hAnsi="Calibri"/>
          <w:color w:val="525866"/>
          <w:sz w:val="22"/>
        </w:rPr>
        <w:t xml:space="preserve"> — Q2 consensus revenue moved from $2.422B to $2.427B and EPS from $1.244 to $1.248, suggesting the street is comfortable with guidance rather than pricing in incremental upside. The stock has lagged ITA (+6.9% vs. +13.4% for ITA since May 7), which is somewhat surprising given the strong Q1 beat and raised guidance, and likely reflects digestion of the CAM acquisition leverage (net debt/EBITDA moved to 1.6x post-close) and macro uncertainty around the Iran conflict flagged by management. The key wildcard is </w:t>
      </w:r>
      <w:r>
        <w:rPr>
          <w:rFonts w:ascii="Calibri" w:hAnsi="Calibri"/>
          <w:b/>
          <w:color w:val="525866"/>
          <w:sz w:val="22"/>
        </w:rPr>
        <w:t>IGT revenue trajectory</w:t>
      </w:r>
      <w:r>
        <w:rPr>
          <w:rFonts w:ascii="Calibri" w:hAnsi="Calibri"/>
          <w:color w:val="525866"/>
          <w:sz w:val="22"/>
        </w:rPr>
        <w:t>: if gas turbine revenue growth decelerates materially from Q1's +39% pace (due to shipment timing or supply constraints), it would be the single most likely source of a miss, while any acceleration or commentary about the seventh major customer contract closing would be the most likely upside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sitting at the top of guidance on revenue and EPS, with EBITDA margin the bigger swing factor given Q1's record 32.0% print. Engine Products revenue growth and IGT mix are the two metrics most likely to drive the stock on results day.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($M)</w:t>
            </w:r>
          </w:p>
        </w:tc>
        <w:tc>
          <w:tcPr>
            <w:tcW w:type="dxa" w:w="1234"/>
          </w:tcPr>
          <w:p>
            <w:r>
              <w:rPr>
                <w:rFonts w:ascii="Calibri" w:hAnsi="Calibri"/>
                <w:sz w:val="22"/>
              </w:rPr>
              <w:t>$2,313</w:t>
            </w:r>
          </w:p>
        </w:tc>
        <w:tc>
          <w:tcPr>
            <w:tcW w:type="dxa" w:w="1234"/>
          </w:tcPr>
          <w:p>
            <w:r>
              <w:rPr>
                <w:rFonts w:ascii="Calibri" w:hAnsi="Calibri"/>
                <w:sz w:val="22"/>
              </w:rPr>
              <w:t>$2,053</w:t>
            </w:r>
          </w:p>
        </w:tc>
        <w:tc>
          <w:tcPr>
            <w:tcW w:type="dxa" w:w="1234"/>
          </w:tcPr>
          <w:p>
            <w:r>
              <w:rPr>
                <w:rFonts w:ascii="Calibri" w:hAnsi="Calibri"/>
                <w:sz w:val="22"/>
              </w:rPr>
              <w:t>$2,427</w:t>
            </w:r>
          </w:p>
        </w:tc>
        <w:tc>
          <w:tcPr>
            <w:tcW w:type="dxa" w:w="1234"/>
          </w:tcPr>
          <w:p>
            <w:r>
              <w:rPr>
                <w:rFonts w:ascii="Calibri" w:hAnsi="Calibri"/>
                <w:b/>
                <w:color w:val="30A46C"/>
                <w:sz w:val="22"/>
              </w:rPr>
              <w:t>+18.2%</w:t>
            </w:r>
          </w:p>
        </w:tc>
        <w:tc>
          <w:tcPr>
            <w:tcW w:type="dxa" w:w="1234"/>
          </w:tcPr>
          <w:p>
            <w:r>
              <w:rPr>
                <w:rFonts w:ascii="Calibri" w:hAnsi="Calibri"/>
                <w:sz w:val="22"/>
              </w:rPr>
              <w:t>$2,400</w:t>
            </w:r>
          </w:p>
        </w:tc>
        <w:tc>
          <w:tcPr>
            <w:tcW w:type="dxa" w:w="1234"/>
          </w:tcPr>
          <w:p>
            <w:r>
              <w:rPr>
                <w:rFonts w:ascii="Calibri" w:hAnsi="Calibri"/>
                <w:sz w:val="22"/>
              </w:rPr>
              <w:t>+1.1%</w:t>
            </w:r>
          </w:p>
        </w:tc>
      </w:tr>
      <w:tr>
        <w:tc>
          <w:tcPr>
            <w:tcW w:type="dxa" w:w="1234"/>
          </w:tcPr>
          <w:p>
            <w:r>
              <w:rPr>
                <w:rFonts w:ascii="Calibri" w:hAnsi="Calibri"/>
                <w:sz w:val="22"/>
              </w:rPr>
              <w:t>Adj. EBITDA ($M)</w:t>
            </w:r>
          </w:p>
        </w:tc>
        <w:tc>
          <w:tcPr>
            <w:tcW w:type="dxa" w:w="1234"/>
          </w:tcPr>
          <w:p>
            <w:r>
              <w:rPr>
                <w:rFonts w:ascii="Calibri" w:hAnsi="Calibri"/>
                <w:sz w:val="22"/>
              </w:rPr>
              <w:t>$740</w:t>
            </w:r>
          </w:p>
        </w:tc>
        <w:tc>
          <w:tcPr>
            <w:tcW w:type="dxa" w:w="1234"/>
          </w:tcPr>
          <w:p>
            <w:r>
              <w:rPr>
                <w:rFonts w:ascii="Calibri" w:hAnsi="Calibri"/>
                <w:sz w:val="22"/>
              </w:rPr>
              <w:t>$589</w:t>
            </w:r>
          </w:p>
        </w:tc>
        <w:tc>
          <w:tcPr>
            <w:tcW w:type="dxa" w:w="1234"/>
          </w:tcPr>
          <w:p>
            <w:r>
              <w:rPr>
                <w:rFonts w:ascii="Calibri" w:hAnsi="Calibri"/>
                <w:sz w:val="22"/>
              </w:rPr>
              <w:t>$773</w:t>
            </w:r>
          </w:p>
        </w:tc>
        <w:tc>
          <w:tcPr>
            <w:tcW w:type="dxa" w:w="1234"/>
          </w:tcPr>
          <w:p>
            <w:r>
              <w:rPr>
                <w:rFonts w:ascii="Calibri" w:hAnsi="Calibri"/>
                <w:b/>
                <w:color w:val="30A46C"/>
                <w:sz w:val="22"/>
              </w:rPr>
              <w:t>+31.2%</w:t>
            </w:r>
          </w:p>
        </w:tc>
        <w:tc>
          <w:tcPr>
            <w:tcW w:type="dxa" w:w="1234"/>
          </w:tcPr>
          <w:p>
            <w:r>
              <w:rPr>
                <w:rFonts w:ascii="Calibri" w:hAnsi="Calibri"/>
                <w:sz w:val="22"/>
              </w:rPr>
              <w:t>$765</w:t>
            </w:r>
          </w:p>
        </w:tc>
        <w:tc>
          <w:tcPr>
            <w:tcW w:type="dxa" w:w="1234"/>
          </w:tcPr>
          <w:p>
            <w:r>
              <w:rPr>
                <w:rFonts w:ascii="Calibri" w:hAnsi="Calibri"/>
                <w:sz w:val="22"/>
              </w:rPr>
              <w:t>+1.1%</w:t>
            </w:r>
          </w:p>
        </w:tc>
      </w:tr>
      <w:tr>
        <w:tc>
          <w:tcPr>
            <w:tcW w:type="dxa" w:w="1234"/>
          </w:tcPr>
          <w:p>
            <w:r>
              <w:rPr>
                <w:rFonts w:ascii="Calibri" w:hAnsi="Calibri"/>
                <w:sz w:val="22"/>
              </w:rPr>
              <w:t>Adj. EBITDA Margin (%)</w:t>
            </w:r>
          </w:p>
        </w:tc>
        <w:tc>
          <w:tcPr>
            <w:tcW w:type="dxa" w:w="1234"/>
          </w:tcPr>
          <w:p>
            <w:r>
              <w:rPr>
                <w:rFonts w:ascii="Calibri" w:hAnsi="Calibri"/>
                <w:sz w:val="22"/>
              </w:rPr>
              <w:t>32.0%</w:t>
            </w:r>
          </w:p>
        </w:tc>
        <w:tc>
          <w:tcPr>
            <w:tcW w:type="dxa" w:w="1234"/>
          </w:tcPr>
          <w:p>
            <w:r>
              <w:rPr>
                <w:rFonts w:ascii="Calibri" w:hAnsi="Calibri"/>
                <w:sz w:val="22"/>
              </w:rPr>
              <w:t>28.7%</w:t>
            </w:r>
          </w:p>
        </w:tc>
        <w:tc>
          <w:tcPr>
            <w:tcW w:type="dxa" w:w="1234"/>
          </w:tcPr>
          <w:p>
            <w:r>
              <w:rPr>
                <w:rFonts w:ascii="Calibri" w:hAnsi="Calibri"/>
                <w:sz w:val="22"/>
              </w:rPr>
              <w:t>31.9%</w:t>
            </w:r>
          </w:p>
        </w:tc>
        <w:tc>
          <w:tcPr>
            <w:tcW w:type="dxa" w:w="1234"/>
          </w:tcPr>
          <w:p>
            <w:r>
              <w:rPr>
                <w:rFonts w:ascii="Calibri" w:hAnsi="Calibri"/>
                <w:b/>
                <w:color w:val="30A46C"/>
                <w:sz w:val="22"/>
              </w:rPr>
              <w:t>+320 bps</w:t>
            </w:r>
          </w:p>
        </w:tc>
        <w:tc>
          <w:tcPr>
            <w:tcW w:type="dxa" w:w="1234"/>
          </w:tcPr>
          <w:p>
            <w:r>
              <w:rPr>
                <w:rFonts w:ascii="Calibri" w:hAnsi="Calibri"/>
                <w:sz w:val="22"/>
              </w:rPr>
              <w:t>~31.9%</w:t>
            </w:r>
          </w:p>
        </w:tc>
        <w:tc>
          <w:tcPr>
            <w:tcW w:type="dxa" w:w="1234"/>
          </w:tcPr>
          <w:p>
            <w:r>
              <w:rPr>
                <w:rFonts w:ascii="Calibri" w:hAnsi="Calibri"/>
                <w:sz w:val="22"/>
              </w:rPr>
              <w:t>~0 bps</w:t>
            </w:r>
          </w:p>
        </w:tc>
      </w:tr>
      <w:tr>
        <w:tc>
          <w:tcPr>
            <w:tcW w:type="dxa" w:w="1234"/>
          </w:tcPr>
          <w:p>
            <w:r>
              <w:rPr>
                <w:rFonts w:ascii="Calibri" w:hAnsi="Calibri"/>
                <w:sz w:val="22"/>
              </w:rPr>
              <w:t>EPS — Diluted Operating ($)</w:t>
            </w:r>
          </w:p>
        </w:tc>
        <w:tc>
          <w:tcPr>
            <w:tcW w:type="dxa" w:w="1234"/>
          </w:tcPr>
          <w:p>
            <w:r>
              <w:rPr>
                <w:rFonts w:ascii="Calibri" w:hAnsi="Calibri"/>
                <w:sz w:val="22"/>
              </w:rPr>
              <w:t>$1.22</w:t>
            </w:r>
          </w:p>
        </w:tc>
        <w:tc>
          <w:tcPr>
            <w:tcW w:type="dxa" w:w="1234"/>
          </w:tcPr>
          <w:p>
            <w:r>
              <w:rPr>
                <w:rFonts w:ascii="Calibri" w:hAnsi="Calibri"/>
                <w:sz w:val="22"/>
              </w:rPr>
              <w:t>$0.91</w:t>
            </w:r>
          </w:p>
        </w:tc>
        <w:tc>
          <w:tcPr>
            <w:tcW w:type="dxa" w:w="1234"/>
          </w:tcPr>
          <w:p>
            <w:r>
              <w:rPr>
                <w:rFonts w:ascii="Calibri" w:hAnsi="Calibri"/>
                <w:sz w:val="22"/>
              </w:rPr>
              <w:t>$1.25</w:t>
            </w:r>
          </w:p>
        </w:tc>
        <w:tc>
          <w:tcPr>
            <w:tcW w:type="dxa" w:w="1234"/>
          </w:tcPr>
          <w:p>
            <w:r>
              <w:rPr>
                <w:rFonts w:ascii="Calibri" w:hAnsi="Calibri"/>
                <w:b/>
                <w:color w:val="30A46C"/>
                <w:sz w:val="22"/>
              </w:rPr>
              <w:t>+37.4%</w:t>
            </w:r>
          </w:p>
        </w:tc>
        <w:tc>
          <w:tcPr>
            <w:tcW w:type="dxa" w:w="1234"/>
          </w:tcPr>
          <w:p>
            <w:r>
              <w:rPr>
                <w:rFonts w:ascii="Calibri" w:hAnsi="Calibri"/>
                <w:sz w:val="22"/>
              </w:rPr>
              <w:t>$1.23</w:t>
            </w:r>
          </w:p>
        </w:tc>
        <w:tc>
          <w:tcPr>
            <w:tcW w:type="dxa" w:w="1234"/>
          </w:tcPr>
          <w:p>
            <w:r>
              <w:rPr>
                <w:rFonts w:ascii="Calibri" w:hAnsi="Calibri"/>
                <w:sz w:val="22"/>
              </w:rPr>
              <w:t>+1.6%</w:t>
            </w:r>
          </w:p>
        </w:tc>
      </w:tr>
      <w:tr>
        <w:tc>
          <w:tcPr>
            <w:tcW w:type="dxa" w:w="1234"/>
          </w:tcPr>
          <w:p>
            <w:r>
              <w:rPr>
                <w:rFonts w:ascii="Calibri" w:hAnsi="Calibri"/>
                <w:sz w:val="22"/>
              </w:rPr>
              <w:t>Free Cash Flow ($M)</w:t>
            </w:r>
          </w:p>
        </w:tc>
        <w:tc>
          <w:tcPr>
            <w:tcW w:type="dxa" w:w="1234"/>
          </w:tcPr>
          <w:p>
            <w:r>
              <w:rPr>
                <w:rFonts w:ascii="Calibri" w:hAnsi="Calibri"/>
                <w:sz w:val="22"/>
              </w:rPr>
              <w:t>$359</w:t>
            </w:r>
          </w:p>
        </w:tc>
        <w:tc>
          <w:tcPr>
            <w:tcW w:type="dxa" w:w="1234"/>
          </w:tcPr>
          <w:p>
            <w:r>
              <w:rPr>
                <w:rFonts w:ascii="Calibri" w:hAnsi="Calibri"/>
                <w:sz w:val="22"/>
              </w:rPr>
              <w:t>$344</w:t>
            </w:r>
          </w:p>
        </w:tc>
        <w:tc>
          <w:tcPr>
            <w:tcW w:type="dxa" w:w="1234"/>
          </w:tcPr>
          <w:p>
            <w:r>
              <w:rPr>
                <w:rFonts w:ascii="Calibri" w:hAnsi="Calibri"/>
                <w:sz w:val="22"/>
              </w:rPr>
              <w:t>$420</w:t>
            </w:r>
          </w:p>
        </w:tc>
        <w:tc>
          <w:tcPr>
            <w:tcW w:type="dxa" w:w="1234"/>
          </w:tcPr>
          <w:p>
            <w:r>
              <w:rPr>
                <w:rFonts w:ascii="Calibri" w:hAnsi="Calibri"/>
                <w:b/>
                <w:color w:val="30A46C"/>
                <w:sz w:val="22"/>
              </w:rPr>
              <w:t>+22.1%</w:t>
            </w:r>
          </w:p>
        </w:tc>
        <w:tc>
          <w:tcPr>
            <w:tcW w:type="dxa" w:w="1234"/>
          </w:tcPr>
          <w:p>
            <w:r>
              <w:rPr>
                <w:rFonts w:ascii="Calibri" w:hAnsi="Calibri"/>
                <w:sz w:val="22"/>
              </w:rPr>
              <w:t>N/A (FY guide: $1.75B)</w:t>
            </w:r>
          </w:p>
        </w:tc>
        <w:tc>
          <w:tcPr>
            <w:tcW w:type="dxa" w:w="1234"/>
          </w:tcPr>
          <w:p>
            <w:r>
              <w:rPr>
                <w:rFonts w:ascii="Calibri" w:hAnsi="Calibri"/>
                <w:sz w:val="22"/>
              </w:rPr>
              <w:t>N/A</w:t>
            </w:r>
          </w:p>
        </w:tc>
      </w:tr>
      <w:tr>
        <w:tc>
          <w:tcPr>
            <w:tcW w:type="dxa" w:w="1234"/>
          </w:tcPr>
          <w:p>
            <w:r>
              <w:rPr>
                <w:rFonts w:ascii="Calibri" w:hAnsi="Calibri"/>
                <w:sz w:val="22"/>
              </w:rPr>
              <w:t>Revenue — Engine Products ($M)</w:t>
            </w:r>
          </w:p>
        </w:tc>
        <w:tc>
          <w:tcPr>
            <w:tcW w:type="dxa" w:w="1234"/>
          </w:tcPr>
          <w:p>
            <w:r>
              <w:rPr>
                <w:rFonts w:ascii="Calibri" w:hAnsi="Calibri"/>
                <w:sz w:val="22"/>
              </w:rPr>
              <w:t>$1,253</w:t>
            </w:r>
          </w:p>
        </w:tc>
        <w:tc>
          <w:tcPr>
            <w:tcW w:type="dxa" w:w="1234"/>
          </w:tcPr>
          <w:p>
            <w:r>
              <w:rPr>
                <w:rFonts w:ascii="Calibri" w:hAnsi="Calibri"/>
                <w:sz w:val="22"/>
              </w:rPr>
              <w:t>$1,038</w:t>
            </w:r>
          </w:p>
        </w:tc>
        <w:tc>
          <w:tcPr>
            <w:tcW w:type="dxa" w:w="1234"/>
          </w:tcPr>
          <w:p>
            <w:r>
              <w:rPr>
                <w:rFonts w:ascii="Calibri" w:hAnsi="Calibri"/>
                <w:sz w:val="22"/>
              </w:rPr>
              <w:t>$1,268</w:t>
            </w:r>
          </w:p>
        </w:tc>
        <w:tc>
          <w:tcPr>
            <w:tcW w:type="dxa" w:w="1234"/>
          </w:tcPr>
          <w:p>
            <w:r>
              <w:rPr>
                <w:rFonts w:ascii="Calibri" w:hAnsi="Calibri"/>
                <w:b/>
                <w:color w:val="30A46C"/>
                <w:sz w:val="22"/>
              </w:rPr>
              <w:t>+22.2%</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Fastening Systems ($M)</w:t>
            </w:r>
          </w:p>
        </w:tc>
        <w:tc>
          <w:tcPr>
            <w:tcW w:type="dxa" w:w="1234"/>
          </w:tcPr>
          <w:p>
            <w:r>
              <w:rPr>
                <w:rFonts w:ascii="Calibri" w:hAnsi="Calibri"/>
                <w:sz w:val="22"/>
              </w:rPr>
              <w:t>$471</w:t>
            </w:r>
          </w:p>
        </w:tc>
        <w:tc>
          <w:tcPr>
            <w:tcW w:type="dxa" w:w="1234"/>
          </w:tcPr>
          <w:p>
            <w:r>
              <w:rPr>
                <w:rFonts w:ascii="Calibri" w:hAnsi="Calibri"/>
                <w:sz w:val="22"/>
              </w:rPr>
              <w:t>$431</w:t>
            </w:r>
          </w:p>
        </w:tc>
        <w:tc>
          <w:tcPr>
            <w:tcW w:type="dxa" w:w="1234"/>
          </w:tcPr>
          <w:p>
            <w:r>
              <w:rPr>
                <w:rFonts w:ascii="Calibri" w:hAnsi="Calibri"/>
                <w:sz w:val="22"/>
              </w:rPr>
              <w:t>$588</w:t>
            </w:r>
          </w:p>
        </w:tc>
        <w:tc>
          <w:tcPr>
            <w:tcW w:type="dxa" w:w="1234"/>
          </w:tcPr>
          <w:p>
            <w:r>
              <w:rPr>
                <w:rFonts w:ascii="Calibri" w:hAnsi="Calibri"/>
                <w:b/>
                <w:color w:val="30A46C"/>
                <w:sz w:val="22"/>
              </w:rPr>
              <w:t>+36.4%</w:t>
            </w:r>
          </w:p>
        </w:tc>
        <w:tc>
          <w:tcPr>
            <w:tcW w:type="dxa" w:w="1234"/>
          </w:tcPr>
          <w:p>
            <w:r>
              <w:rPr>
                <w:rFonts w:ascii="Calibri" w:hAnsi="Calibri"/>
                <w:sz w:val="22"/>
              </w:rPr>
              <w:t>N/A (segment; includes CAM)</w:t>
            </w:r>
          </w:p>
        </w:tc>
        <w:tc>
          <w:tcPr>
            <w:tcW w:type="dxa" w:w="1234"/>
          </w:tcPr>
          <w:p>
            <w:r>
              <w:rPr>
                <w:rFonts w:ascii="Calibri" w:hAnsi="Calibri"/>
                <w:sz w:val="22"/>
              </w:rPr>
              <w:t>N/A</w:t>
            </w:r>
          </w:p>
        </w:tc>
      </w:tr>
      <w:tr>
        <w:tc>
          <w:tcPr>
            <w:tcW w:type="dxa" w:w="1234"/>
          </w:tcPr>
          <w:p>
            <w:r>
              <w:rPr>
                <w:rFonts w:ascii="Calibri" w:hAnsi="Calibri"/>
                <w:sz w:val="22"/>
              </w:rPr>
              <w:t>Revenue — Engineered Structures ($M)</w:t>
            </w:r>
          </w:p>
        </w:tc>
        <w:tc>
          <w:tcPr>
            <w:tcW w:type="dxa" w:w="1234"/>
          </w:tcPr>
          <w:p>
            <w:r>
              <w:rPr>
                <w:rFonts w:ascii="Calibri" w:hAnsi="Calibri"/>
                <w:sz w:val="22"/>
              </w:rPr>
              <w:t>$294</w:t>
            </w:r>
          </w:p>
        </w:tc>
        <w:tc>
          <w:tcPr>
            <w:tcW w:type="dxa" w:w="1234"/>
          </w:tcPr>
          <w:p>
            <w:r>
              <w:rPr>
                <w:rFonts w:ascii="Calibri" w:hAnsi="Calibri"/>
                <w:sz w:val="22"/>
              </w:rPr>
              <w:t>$308</w:t>
            </w:r>
          </w:p>
        </w:tc>
        <w:tc>
          <w:tcPr>
            <w:tcW w:type="dxa" w:w="1234"/>
          </w:tcPr>
          <w:p>
            <w:r>
              <w:rPr>
                <w:rFonts w:ascii="Calibri" w:hAnsi="Calibri"/>
                <w:sz w:val="22"/>
              </w:rPr>
              <w:t>$287</w:t>
            </w:r>
          </w:p>
        </w:tc>
        <w:tc>
          <w:tcPr>
            <w:tcW w:type="dxa" w:w="1234"/>
          </w:tcPr>
          <w:p>
            <w:r>
              <w:rPr>
                <w:rFonts w:ascii="Calibri" w:hAnsi="Calibri"/>
                <w:b/>
                <w:color w:val="E5484D"/>
                <w:sz w:val="22"/>
              </w:rPr>
              <w:t>-6.8%</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Forged Wheels ($M)</w:t>
            </w:r>
          </w:p>
        </w:tc>
        <w:tc>
          <w:tcPr>
            <w:tcW w:type="dxa" w:w="1234"/>
          </w:tcPr>
          <w:p>
            <w:r>
              <w:rPr>
                <w:rFonts w:ascii="Calibri" w:hAnsi="Calibri"/>
                <w:sz w:val="22"/>
              </w:rPr>
              <w:t>$295</w:t>
            </w:r>
          </w:p>
        </w:tc>
        <w:tc>
          <w:tcPr>
            <w:tcW w:type="dxa" w:w="1234"/>
          </w:tcPr>
          <w:p>
            <w:r>
              <w:rPr>
                <w:rFonts w:ascii="Calibri" w:hAnsi="Calibri"/>
                <w:sz w:val="22"/>
              </w:rPr>
              <w:t>$276</w:t>
            </w:r>
          </w:p>
        </w:tc>
        <w:tc>
          <w:tcPr>
            <w:tcW w:type="dxa" w:w="1234"/>
          </w:tcPr>
          <w:p>
            <w:r>
              <w:rPr>
                <w:rFonts w:ascii="Calibri" w:hAnsi="Calibri"/>
                <w:sz w:val="22"/>
              </w:rPr>
              <w:t>$284</w:t>
            </w:r>
          </w:p>
        </w:tc>
        <w:tc>
          <w:tcPr>
            <w:tcW w:type="dxa" w:w="1234"/>
          </w:tcPr>
          <w:p>
            <w:r>
              <w:rPr>
                <w:rFonts w:ascii="Calibri" w:hAnsi="Calibri"/>
                <w:sz w:val="22"/>
              </w:rPr>
              <w:t>+2.9%</w:t>
            </w:r>
          </w:p>
        </w:tc>
        <w:tc>
          <w:tcPr>
            <w:tcW w:type="dxa" w:w="1234"/>
          </w:tcPr>
          <w:p>
            <w:r>
              <w:rPr>
                <w:rFonts w:ascii="Calibri" w:hAnsi="Calibri"/>
                <w:sz w:val="22"/>
              </w:rPr>
              <w:t>N/A (segment)</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midpoints from Q1 2026 earnings call (May 7, 2026): Revenue $2,400M ±$10M, EBITDA $765M ±$5M, EPS $1.23 ±$0.01. Fastening Systems Q2 2026 consensus elevated vs. prior year due to CAM acquisition (closed April 6, 2026) adding ~$275M revenue to remainder of 2026. Engineered Structures YoY decline reflects Savannah disk forging divestiture (closed March 31, 2026).</w:t>
      </w:r>
    </w:p>
    <w:p>
      <w:pPr>
        <w:pStyle w:val="Heading3"/>
      </w:pPr>
      <w:r>
        <w:rPr>
          <w:rFonts w:ascii="Calibri" w:hAnsi="Calibri"/>
          <w:b/>
          <w:color w:val="3B4259"/>
          <w:sz w:val="24"/>
        </w:rPr>
        <w:t>Table 2 — Beat/Miss History (Last 8 Quarters, Top 2 KPIs: Revenue &amp; Operating EPS)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Revenue Reported ($M)</w:t>
            </w:r>
          </w:p>
        </w:tc>
        <w:tc>
          <w:tcPr>
            <w:tcW w:type="dxa" w:w="1234"/>
            <w:shd w:val="clear" w:color="auto" w:fill="3B4259"/>
          </w:tcPr>
          <w:p>
            <w:r>
              <w:rPr>
                <w:rFonts w:ascii="Calibri" w:hAnsi="Calibri"/>
                <w:b/>
                <w:color w:val="FFFFFF"/>
                <w:sz w:val="22"/>
              </w:rPr>
              <w:t>Revenue Consensus ($M)</w:t>
            </w:r>
          </w:p>
        </w:tc>
        <w:tc>
          <w:tcPr>
            <w:tcW w:type="dxa" w:w="1234"/>
            <w:shd w:val="clear" w:color="auto" w:fill="3B4259"/>
          </w:tcPr>
          <w:p>
            <w:r>
              <w:rPr>
                <w:rFonts w:ascii="Calibri" w:hAnsi="Calibri"/>
                <w:b/>
                <w:color w:val="FFFFFF"/>
                <w:sz w:val="22"/>
              </w:rPr>
              <w:t>Rev. Surprise %</w:t>
            </w:r>
          </w:p>
        </w:tc>
        <w:tc>
          <w:tcPr>
            <w:tcW w:type="dxa" w:w="1234"/>
            <w:shd w:val="clear" w:color="auto" w:fill="3B4259"/>
          </w:tcPr>
          <w:p>
            <w:r>
              <w:rPr>
                <w:rFonts w:ascii="Calibri" w:hAnsi="Calibri"/>
                <w:b/>
                <w:color w:val="FFFFFF"/>
                <w:sz w:val="22"/>
              </w:rPr>
              <w:t>Op. EPS Reported ($)</w:t>
            </w:r>
          </w:p>
        </w:tc>
        <w:tc>
          <w:tcPr>
            <w:tcW w:type="dxa" w:w="1234"/>
            <w:shd w:val="clear" w:color="auto" w:fill="3B4259"/>
          </w:tcPr>
          <w:p>
            <w:r>
              <w:rPr>
                <w:rFonts w:ascii="Calibri" w:hAnsi="Calibri"/>
                <w:b/>
                <w:color w:val="FFFFFF"/>
                <w:sz w:val="22"/>
              </w:rPr>
              <w:t>Op. EPS Consensus ($)</w:t>
            </w:r>
          </w:p>
        </w:tc>
        <w:tc>
          <w:tcPr>
            <w:tcW w:type="dxa" w:w="1234"/>
            <w:shd w:val="clear" w:color="auto" w:fill="3B4259"/>
          </w:tcPr>
          <w:p>
            <w:r>
              <w:rPr>
                <w:rFonts w:ascii="Calibri" w:hAnsi="Calibri"/>
                <w:b/>
                <w:color w:val="FFFFFF"/>
                <w:sz w:val="22"/>
              </w:rPr>
              <w:t>EPS Surprise %</w:t>
            </w:r>
          </w:p>
        </w:tc>
      </w:tr>
      <w:tr>
        <w:tc>
          <w:tcPr>
            <w:tcW w:type="dxa" w:w="1234"/>
          </w:tcPr>
          <w:p>
            <w:r>
              <w:rPr>
                <w:rFonts w:ascii="Calibri" w:hAnsi="Calibri"/>
                <w:sz w:val="22"/>
              </w:rPr>
              <w:t>Q1 2026</w:t>
            </w:r>
          </w:p>
        </w:tc>
        <w:tc>
          <w:tcPr>
            <w:tcW w:type="dxa" w:w="1234"/>
          </w:tcPr>
          <w:p>
            <w:r>
              <w:rPr>
                <w:rFonts w:ascii="Calibri" w:hAnsi="Calibri"/>
                <w:sz w:val="22"/>
              </w:rPr>
              <w:t>$2,313</w:t>
            </w:r>
          </w:p>
        </w:tc>
        <w:tc>
          <w:tcPr>
            <w:tcW w:type="dxa" w:w="1234"/>
          </w:tcPr>
          <w:p>
            <w:r>
              <w:rPr>
                <w:rFonts w:ascii="Calibri" w:hAnsi="Calibri"/>
                <w:sz w:val="22"/>
              </w:rPr>
              <w:t>$2,241</w:t>
            </w:r>
          </w:p>
        </w:tc>
        <w:tc>
          <w:tcPr>
            <w:tcW w:type="dxa" w:w="1234"/>
          </w:tcPr>
          <w:p>
            <w:r>
              <w:rPr>
                <w:rFonts w:ascii="Calibri" w:hAnsi="Calibri"/>
                <w:b/>
                <w:color w:val="30A46C"/>
                <w:sz w:val="22"/>
              </w:rPr>
              <w:t>+3.2%</w:t>
            </w:r>
          </w:p>
        </w:tc>
        <w:tc>
          <w:tcPr>
            <w:tcW w:type="dxa" w:w="1234"/>
          </w:tcPr>
          <w:p>
            <w:r>
              <w:rPr>
                <w:rFonts w:ascii="Calibri" w:hAnsi="Calibri"/>
                <w:sz w:val="22"/>
              </w:rPr>
              <w:t>$1.22</w:t>
            </w:r>
          </w:p>
        </w:tc>
        <w:tc>
          <w:tcPr>
            <w:tcW w:type="dxa" w:w="1234"/>
          </w:tcPr>
          <w:p>
            <w:r>
              <w:rPr>
                <w:rFonts w:ascii="Calibri" w:hAnsi="Calibri"/>
                <w:sz w:val="22"/>
              </w:rPr>
              <w:t>$1.11</w:t>
            </w:r>
          </w:p>
        </w:tc>
        <w:tc>
          <w:tcPr>
            <w:tcW w:type="dxa" w:w="1234"/>
          </w:tcPr>
          <w:p>
            <w:r>
              <w:rPr>
                <w:rFonts w:ascii="Calibri" w:hAnsi="Calibri"/>
                <w:b/>
                <w:color w:val="30A46C"/>
                <w:sz w:val="22"/>
              </w:rPr>
              <w:t>+9.9%</w:t>
            </w:r>
          </w:p>
        </w:tc>
      </w:tr>
      <w:tr>
        <w:tc>
          <w:tcPr>
            <w:tcW w:type="dxa" w:w="1234"/>
          </w:tcPr>
          <w:p>
            <w:r>
              <w:rPr>
                <w:rFonts w:ascii="Calibri" w:hAnsi="Calibri"/>
                <w:sz w:val="22"/>
              </w:rPr>
              <w:t>Q4 2025</w:t>
            </w:r>
          </w:p>
        </w:tc>
        <w:tc>
          <w:tcPr>
            <w:tcW w:type="dxa" w:w="1234"/>
          </w:tcPr>
          <w:p>
            <w:r>
              <w:rPr>
                <w:rFonts w:ascii="Calibri" w:hAnsi="Calibri"/>
                <w:sz w:val="22"/>
              </w:rPr>
              <w:t>$2,168</w:t>
            </w:r>
          </w:p>
        </w:tc>
        <w:tc>
          <w:tcPr>
            <w:tcW w:type="dxa" w:w="1234"/>
          </w:tcPr>
          <w:p>
            <w:r>
              <w:rPr>
                <w:rFonts w:ascii="Calibri" w:hAnsi="Calibri"/>
                <w:sz w:val="22"/>
              </w:rPr>
              <w:t>$2,120</w:t>
            </w:r>
          </w:p>
        </w:tc>
        <w:tc>
          <w:tcPr>
            <w:tcW w:type="dxa" w:w="1234"/>
          </w:tcPr>
          <w:p>
            <w:r>
              <w:rPr>
                <w:rFonts w:ascii="Calibri" w:hAnsi="Calibri"/>
                <w:b/>
                <w:color w:val="30A46C"/>
                <w:sz w:val="22"/>
              </w:rPr>
              <w:t>+2.3%</w:t>
            </w:r>
          </w:p>
        </w:tc>
        <w:tc>
          <w:tcPr>
            <w:tcW w:type="dxa" w:w="1234"/>
          </w:tcPr>
          <w:p>
            <w:r>
              <w:rPr>
                <w:rFonts w:ascii="Calibri" w:hAnsi="Calibri"/>
                <w:sz w:val="22"/>
              </w:rPr>
              <w:t>$1.05</w:t>
            </w:r>
          </w:p>
        </w:tc>
        <w:tc>
          <w:tcPr>
            <w:tcW w:type="dxa" w:w="1234"/>
          </w:tcPr>
          <w:p>
            <w:r>
              <w:rPr>
                <w:rFonts w:ascii="Calibri" w:hAnsi="Calibri"/>
                <w:sz w:val="22"/>
              </w:rPr>
              <w:t>$0.96</w:t>
            </w:r>
          </w:p>
        </w:tc>
        <w:tc>
          <w:tcPr>
            <w:tcW w:type="dxa" w:w="1234"/>
          </w:tcPr>
          <w:p>
            <w:r>
              <w:rPr>
                <w:rFonts w:ascii="Calibri" w:hAnsi="Calibri"/>
                <w:b/>
                <w:color w:val="30A46C"/>
                <w:sz w:val="22"/>
              </w:rPr>
              <w:t>+9.4%</w:t>
            </w:r>
          </w:p>
        </w:tc>
      </w:tr>
      <w:tr>
        <w:tc>
          <w:tcPr>
            <w:tcW w:type="dxa" w:w="1234"/>
          </w:tcPr>
          <w:p>
            <w:r>
              <w:rPr>
                <w:rFonts w:ascii="Calibri" w:hAnsi="Calibri"/>
                <w:sz w:val="22"/>
              </w:rPr>
              <w:t>Q3 2025</w:t>
            </w:r>
          </w:p>
        </w:tc>
        <w:tc>
          <w:tcPr>
            <w:tcW w:type="dxa" w:w="1234"/>
          </w:tcPr>
          <w:p>
            <w:r>
              <w:rPr>
                <w:rFonts w:ascii="Calibri" w:hAnsi="Calibri"/>
                <w:sz w:val="22"/>
              </w:rPr>
              <w:t>$2,089</w:t>
            </w:r>
          </w:p>
        </w:tc>
        <w:tc>
          <w:tcPr>
            <w:tcW w:type="dxa" w:w="1234"/>
          </w:tcPr>
          <w:p>
            <w:r>
              <w:rPr>
                <w:rFonts w:ascii="Calibri" w:hAnsi="Calibri"/>
                <w:sz w:val="22"/>
              </w:rPr>
              <w:t>$2,043</w:t>
            </w:r>
          </w:p>
        </w:tc>
        <w:tc>
          <w:tcPr>
            <w:tcW w:type="dxa" w:w="1234"/>
          </w:tcPr>
          <w:p>
            <w:r>
              <w:rPr>
                <w:rFonts w:ascii="Calibri" w:hAnsi="Calibri"/>
                <w:b/>
                <w:color w:val="30A46C"/>
                <w:sz w:val="22"/>
              </w:rPr>
              <w:t>+2.3%</w:t>
            </w:r>
          </w:p>
        </w:tc>
        <w:tc>
          <w:tcPr>
            <w:tcW w:type="dxa" w:w="1234"/>
          </w:tcPr>
          <w:p>
            <w:r>
              <w:rPr>
                <w:rFonts w:ascii="Calibri" w:hAnsi="Calibri"/>
                <w:sz w:val="22"/>
              </w:rPr>
              <w:t>$0.95</w:t>
            </w:r>
          </w:p>
        </w:tc>
        <w:tc>
          <w:tcPr>
            <w:tcW w:type="dxa" w:w="1234"/>
          </w:tcPr>
          <w:p>
            <w:r>
              <w:rPr>
                <w:rFonts w:ascii="Calibri" w:hAnsi="Calibri"/>
                <w:sz w:val="22"/>
              </w:rPr>
              <w:t>$0.91</w:t>
            </w:r>
          </w:p>
        </w:tc>
        <w:tc>
          <w:tcPr>
            <w:tcW w:type="dxa" w:w="1234"/>
          </w:tcPr>
          <w:p>
            <w:r>
              <w:rPr>
                <w:rFonts w:ascii="Calibri" w:hAnsi="Calibri"/>
                <w:b/>
                <w:color w:val="30A46C"/>
                <w:sz w:val="22"/>
              </w:rPr>
              <w:t>+4.4%</w:t>
            </w:r>
          </w:p>
        </w:tc>
      </w:tr>
      <w:tr>
        <w:tc>
          <w:tcPr>
            <w:tcW w:type="dxa" w:w="1234"/>
          </w:tcPr>
          <w:p>
            <w:r>
              <w:rPr>
                <w:rFonts w:ascii="Calibri" w:hAnsi="Calibri"/>
                <w:sz w:val="22"/>
              </w:rPr>
              <w:t>Q2 2025</w:t>
            </w:r>
          </w:p>
        </w:tc>
        <w:tc>
          <w:tcPr>
            <w:tcW w:type="dxa" w:w="1234"/>
          </w:tcPr>
          <w:p>
            <w:r>
              <w:rPr>
                <w:rFonts w:ascii="Calibri" w:hAnsi="Calibri"/>
                <w:sz w:val="22"/>
              </w:rPr>
              <w:t>$2,053</w:t>
            </w:r>
          </w:p>
        </w:tc>
        <w:tc>
          <w:tcPr>
            <w:tcW w:type="dxa" w:w="1234"/>
          </w:tcPr>
          <w:p>
            <w:r>
              <w:rPr>
                <w:rFonts w:ascii="Calibri" w:hAnsi="Calibri"/>
                <w:sz w:val="22"/>
              </w:rPr>
              <w:t>$2,003</w:t>
            </w:r>
          </w:p>
        </w:tc>
        <w:tc>
          <w:tcPr>
            <w:tcW w:type="dxa" w:w="1234"/>
          </w:tcPr>
          <w:p>
            <w:r>
              <w:rPr>
                <w:rFonts w:ascii="Calibri" w:hAnsi="Calibri"/>
                <w:b/>
                <w:color w:val="30A46C"/>
                <w:sz w:val="22"/>
              </w:rPr>
              <w:t>+2.5%</w:t>
            </w:r>
          </w:p>
        </w:tc>
        <w:tc>
          <w:tcPr>
            <w:tcW w:type="dxa" w:w="1234"/>
          </w:tcPr>
          <w:p>
            <w:r>
              <w:rPr>
                <w:rFonts w:ascii="Calibri" w:hAnsi="Calibri"/>
                <w:sz w:val="22"/>
              </w:rPr>
              <w:t>$0.91</w:t>
            </w:r>
          </w:p>
        </w:tc>
        <w:tc>
          <w:tcPr>
            <w:tcW w:type="dxa" w:w="1234"/>
          </w:tcPr>
          <w:p>
            <w:r>
              <w:rPr>
                <w:rFonts w:ascii="Calibri" w:hAnsi="Calibri"/>
                <w:sz w:val="22"/>
              </w:rPr>
              <w:t>$0.87</w:t>
            </w:r>
          </w:p>
        </w:tc>
        <w:tc>
          <w:tcPr>
            <w:tcW w:type="dxa" w:w="1234"/>
          </w:tcPr>
          <w:p>
            <w:r>
              <w:rPr>
                <w:rFonts w:ascii="Calibri" w:hAnsi="Calibri"/>
                <w:b/>
                <w:color w:val="30A46C"/>
                <w:sz w:val="22"/>
              </w:rPr>
              <w:t>+4.6%</w:t>
            </w:r>
          </w:p>
        </w:tc>
      </w:tr>
      <w:tr>
        <w:tc>
          <w:tcPr>
            <w:tcW w:type="dxa" w:w="1234"/>
          </w:tcPr>
          <w:p>
            <w:r>
              <w:rPr>
                <w:rFonts w:ascii="Calibri" w:hAnsi="Calibri"/>
                <w:sz w:val="22"/>
              </w:rPr>
              <w:t>Q1 2025</w:t>
            </w:r>
          </w:p>
        </w:tc>
        <w:tc>
          <w:tcPr>
            <w:tcW w:type="dxa" w:w="1234"/>
          </w:tcPr>
          <w:p>
            <w:r>
              <w:rPr>
                <w:rFonts w:ascii="Calibri" w:hAnsi="Calibri"/>
                <w:sz w:val="22"/>
              </w:rPr>
              <w:t>$1,942</w:t>
            </w:r>
          </w:p>
        </w:tc>
        <w:tc>
          <w:tcPr>
            <w:tcW w:type="dxa" w:w="1234"/>
          </w:tcPr>
          <w:p>
            <w:r>
              <w:rPr>
                <w:rFonts w:ascii="Calibri" w:hAnsi="Calibri"/>
                <w:sz w:val="22"/>
              </w:rPr>
              <w:t>$1,937</w:t>
            </w:r>
          </w:p>
        </w:tc>
        <w:tc>
          <w:tcPr>
            <w:tcW w:type="dxa" w:w="1234"/>
          </w:tcPr>
          <w:p>
            <w:r>
              <w:rPr>
                <w:rFonts w:ascii="Calibri" w:hAnsi="Calibri"/>
                <w:b/>
                <w:color w:val="30A46C"/>
                <w:sz w:val="22"/>
              </w:rPr>
              <w:t>+0.3%</w:t>
            </w:r>
          </w:p>
        </w:tc>
        <w:tc>
          <w:tcPr>
            <w:tcW w:type="dxa" w:w="1234"/>
          </w:tcPr>
          <w:p>
            <w:r>
              <w:rPr>
                <w:rFonts w:ascii="Calibri" w:hAnsi="Calibri"/>
                <w:sz w:val="22"/>
              </w:rPr>
              <w:t>$0.86</w:t>
            </w:r>
          </w:p>
        </w:tc>
        <w:tc>
          <w:tcPr>
            <w:tcW w:type="dxa" w:w="1234"/>
          </w:tcPr>
          <w:p>
            <w:r>
              <w:rPr>
                <w:rFonts w:ascii="Calibri" w:hAnsi="Calibri"/>
                <w:sz w:val="22"/>
              </w:rPr>
              <w:t>$0.77</w:t>
            </w:r>
          </w:p>
        </w:tc>
        <w:tc>
          <w:tcPr>
            <w:tcW w:type="dxa" w:w="1234"/>
          </w:tcPr>
          <w:p>
            <w:r>
              <w:rPr>
                <w:rFonts w:ascii="Calibri" w:hAnsi="Calibri"/>
                <w:b/>
                <w:color w:val="30A46C"/>
                <w:sz w:val="22"/>
              </w:rPr>
              <w:t>+11.7%</w:t>
            </w:r>
          </w:p>
        </w:tc>
      </w:tr>
      <w:tr>
        <w:tc>
          <w:tcPr>
            <w:tcW w:type="dxa" w:w="1234"/>
          </w:tcPr>
          <w:p>
            <w:r>
              <w:rPr>
                <w:rFonts w:ascii="Calibri" w:hAnsi="Calibri"/>
                <w:sz w:val="22"/>
              </w:rPr>
              <w:t>Q4 2024</w:t>
            </w:r>
          </w:p>
        </w:tc>
        <w:tc>
          <w:tcPr>
            <w:tcW w:type="dxa" w:w="1234"/>
          </w:tcPr>
          <w:p>
            <w:r>
              <w:rPr>
                <w:rFonts w:ascii="Calibri" w:hAnsi="Calibri"/>
                <w:sz w:val="22"/>
              </w:rPr>
              <w:t>$1,891</w:t>
            </w:r>
          </w:p>
        </w:tc>
        <w:tc>
          <w:tcPr>
            <w:tcW w:type="dxa" w:w="1234"/>
          </w:tcPr>
          <w:p>
            <w:r>
              <w:rPr>
                <w:rFonts w:ascii="Calibri" w:hAnsi="Calibri"/>
                <w:sz w:val="22"/>
              </w:rPr>
              <w:t>$1,878</w:t>
            </w:r>
          </w:p>
        </w:tc>
        <w:tc>
          <w:tcPr>
            <w:tcW w:type="dxa" w:w="1234"/>
          </w:tcPr>
          <w:p>
            <w:r>
              <w:rPr>
                <w:rFonts w:ascii="Calibri" w:hAnsi="Calibri"/>
                <w:b/>
                <w:color w:val="30A46C"/>
                <w:sz w:val="22"/>
              </w:rPr>
              <w:t>+0.7%</w:t>
            </w:r>
          </w:p>
        </w:tc>
        <w:tc>
          <w:tcPr>
            <w:tcW w:type="dxa" w:w="1234"/>
          </w:tcPr>
          <w:p>
            <w:r>
              <w:rPr>
                <w:rFonts w:ascii="Calibri" w:hAnsi="Calibri"/>
                <w:sz w:val="22"/>
              </w:rPr>
              <w:t>$0.74</w:t>
            </w:r>
          </w:p>
        </w:tc>
        <w:tc>
          <w:tcPr>
            <w:tcW w:type="dxa" w:w="1234"/>
          </w:tcPr>
          <w:p>
            <w:r>
              <w:rPr>
                <w:rFonts w:ascii="Calibri" w:hAnsi="Calibri"/>
                <w:sz w:val="22"/>
              </w:rPr>
              <w:t>$0.72</w:t>
            </w:r>
          </w:p>
        </w:tc>
        <w:tc>
          <w:tcPr>
            <w:tcW w:type="dxa" w:w="1234"/>
          </w:tcPr>
          <w:p>
            <w:r>
              <w:rPr>
                <w:rFonts w:ascii="Calibri" w:hAnsi="Calibri"/>
                <w:b/>
                <w:color w:val="30A46C"/>
                <w:sz w:val="22"/>
              </w:rPr>
              <w:t>+2.8%</w:t>
            </w:r>
          </w:p>
        </w:tc>
      </w:tr>
      <w:tr>
        <w:tc>
          <w:tcPr>
            <w:tcW w:type="dxa" w:w="1234"/>
          </w:tcPr>
          <w:p>
            <w:r>
              <w:rPr>
                <w:rFonts w:ascii="Calibri" w:hAnsi="Calibri"/>
                <w:sz w:val="22"/>
              </w:rPr>
              <w:t>Q3 2024</w:t>
            </w:r>
          </w:p>
        </w:tc>
        <w:tc>
          <w:tcPr>
            <w:tcW w:type="dxa" w:w="1234"/>
          </w:tcPr>
          <w:p>
            <w:r>
              <w:rPr>
                <w:rFonts w:ascii="Calibri" w:hAnsi="Calibri"/>
                <w:sz w:val="22"/>
              </w:rPr>
              <w:t>$1,835</w:t>
            </w:r>
          </w:p>
        </w:tc>
        <w:tc>
          <w:tcPr>
            <w:tcW w:type="dxa" w:w="1234"/>
          </w:tcPr>
          <w:p>
            <w:r>
              <w:rPr>
                <w:rFonts w:ascii="Calibri" w:hAnsi="Calibri"/>
                <w:sz w:val="22"/>
              </w:rPr>
              <w:t>$1,850</w:t>
            </w:r>
          </w:p>
        </w:tc>
        <w:tc>
          <w:tcPr>
            <w:tcW w:type="dxa" w:w="1234"/>
          </w:tcPr>
          <w:p>
            <w:r>
              <w:rPr>
                <w:rFonts w:ascii="Calibri" w:hAnsi="Calibri"/>
                <w:b/>
                <w:color w:val="E5484D"/>
                <w:sz w:val="22"/>
              </w:rPr>
              <w:t>-0.8%</w:t>
            </w:r>
          </w:p>
        </w:tc>
        <w:tc>
          <w:tcPr>
            <w:tcW w:type="dxa" w:w="1234"/>
          </w:tcPr>
          <w:p>
            <w:r>
              <w:rPr>
                <w:rFonts w:ascii="Calibri" w:hAnsi="Calibri"/>
                <w:sz w:val="22"/>
              </w:rPr>
              <w:t>$0.71</w:t>
            </w:r>
          </w:p>
        </w:tc>
        <w:tc>
          <w:tcPr>
            <w:tcW w:type="dxa" w:w="1234"/>
          </w:tcPr>
          <w:p>
            <w:r>
              <w:rPr>
                <w:rFonts w:ascii="Calibri" w:hAnsi="Calibri"/>
                <w:sz w:val="22"/>
              </w:rPr>
              <w:t>$0.65</w:t>
            </w:r>
          </w:p>
        </w:tc>
        <w:tc>
          <w:tcPr>
            <w:tcW w:type="dxa" w:w="1234"/>
          </w:tcPr>
          <w:p>
            <w:r>
              <w:rPr>
                <w:rFonts w:ascii="Calibri" w:hAnsi="Calibri"/>
                <w:b/>
                <w:color w:val="30A46C"/>
                <w:sz w:val="22"/>
              </w:rPr>
              <w:t>+9.2%</w:t>
            </w:r>
          </w:p>
        </w:tc>
      </w:tr>
      <w:tr>
        <w:tc>
          <w:tcPr>
            <w:tcW w:type="dxa" w:w="1234"/>
          </w:tcPr>
          <w:p>
            <w:r>
              <w:rPr>
                <w:rFonts w:ascii="Calibri" w:hAnsi="Calibri"/>
                <w:sz w:val="22"/>
              </w:rPr>
              <w:t>Q2 2024</w:t>
            </w:r>
          </w:p>
        </w:tc>
        <w:tc>
          <w:tcPr>
            <w:tcW w:type="dxa" w:w="1234"/>
          </w:tcPr>
          <w:p>
            <w:r>
              <w:rPr>
                <w:rFonts w:ascii="Calibri" w:hAnsi="Calibri"/>
                <w:sz w:val="22"/>
              </w:rPr>
              <w:t>$1,880</w:t>
            </w:r>
          </w:p>
        </w:tc>
        <w:tc>
          <w:tcPr>
            <w:tcW w:type="dxa" w:w="1234"/>
          </w:tcPr>
          <w:p>
            <w:r>
              <w:rPr>
                <w:rFonts w:ascii="Calibri" w:hAnsi="Calibri"/>
                <w:sz w:val="22"/>
              </w:rPr>
              <w:t>$1,833</w:t>
            </w:r>
          </w:p>
        </w:tc>
        <w:tc>
          <w:tcPr>
            <w:tcW w:type="dxa" w:w="1234"/>
          </w:tcPr>
          <w:p>
            <w:r>
              <w:rPr>
                <w:rFonts w:ascii="Calibri" w:hAnsi="Calibri"/>
                <w:b/>
                <w:color w:val="30A46C"/>
                <w:sz w:val="22"/>
              </w:rPr>
              <w:t>+2.6%</w:t>
            </w:r>
          </w:p>
        </w:tc>
        <w:tc>
          <w:tcPr>
            <w:tcW w:type="dxa" w:w="1234"/>
          </w:tcPr>
          <w:p>
            <w:r>
              <w:rPr>
                <w:rFonts w:ascii="Calibri" w:hAnsi="Calibri"/>
                <w:sz w:val="22"/>
              </w:rPr>
              <w:t>$0.67</w:t>
            </w:r>
          </w:p>
        </w:tc>
        <w:tc>
          <w:tcPr>
            <w:tcW w:type="dxa" w:w="1234"/>
          </w:tcPr>
          <w:p>
            <w:r>
              <w:rPr>
                <w:rFonts w:ascii="Calibri" w:hAnsi="Calibri"/>
                <w:sz w:val="22"/>
              </w:rPr>
              <w:t>$0.60</w:t>
            </w:r>
          </w:p>
        </w:tc>
        <w:tc>
          <w:tcPr>
            <w:tcW w:type="dxa" w:w="1234"/>
          </w:tcPr>
          <w:p>
            <w:r>
              <w:rPr>
                <w:rFonts w:ascii="Calibri" w:hAnsi="Calibri"/>
                <w:b/>
                <w:color w:val="30A46C"/>
                <w:sz w:val="22"/>
              </w:rPr>
              <w:t>+11.2%</w:t>
            </w:r>
          </w:p>
        </w:tc>
      </w:tr>
    </w:tbl>
    <w:p>
      <w:r>
        <w:rPr>
          <w:rFonts w:ascii="Calibri" w:hAnsi="Calibri"/>
          <w:i/>
          <w:color w:val="525866"/>
          <w:sz w:val="22"/>
        </w:rPr>
        <w:t xml:space="preserve">Source: Visible Alpha Consensus and Actuals Data. </w:t>
      </w:r>
      <w:r>
        <w:rPr>
          <w:rFonts w:ascii="Calibri" w:hAnsi="Calibri"/>
          <w:i/>
          <w:color w:val="525866"/>
          <w:sz w:val="22"/>
        </w:rPr>
        <w:t>Pattern: HWM has beaten revenue consensus in 7 of the last 8 quarters and beaten operating EPS consensus in all 8 quarters, with EPS beats averaging ~7–8% — a strong and consistent track record that sets a high bar for the street to set a truly conservative number.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(May 7), but management's tone at the Bernstein conference (June 2026) was incrementally constructive on IGT demand breadth and the seventh major customer contract, suggesting the FY guide has upside optionality. No 8-K or pre-announcement has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$2,400M ±$10M</w:t>
            </w:r>
          </w:p>
        </w:tc>
        <w:tc>
          <w:tcPr>
            <w:tcW w:type="dxa" w:w="1728"/>
          </w:tcPr>
          <w:p>
            <w:r>
              <w:rPr>
                <w:rFonts w:ascii="Calibri" w:hAnsi="Calibri"/>
                <w:sz w:val="22"/>
              </w:rPr>
              <w:t>—</w:t>
            </w:r>
          </w:p>
        </w:tc>
        <w:tc>
          <w:tcPr>
            <w:tcW w:type="dxa" w:w="1728"/>
          </w:tcPr>
          <w:p>
            <w:r>
              <w:rPr>
                <w:rFonts w:ascii="Calibri" w:hAnsi="Calibri"/>
                <w:sz w:val="22"/>
              </w:rPr>
              <w:t>$2,427M</w:t>
            </w:r>
          </w:p>
        </w:tc>
        <w:tc>
          <w:tcPr>
            <w:tcW w:type="dxa" w:w="1728"/>
          </w:tcPr>
          <w:p>
            <w:r>
              <w:rPr>
                <w:rFonts w:ascii="Calibri" w:hAnsi="Calibri"/>
                <w:sz w:val="22"/>
              </w:rPr>
              <w:t>Consensus +1.1% above midpoint; no post-earnings revision</w:t>
            </w:r>
          </w:p>
        </w:tc>
      </w:tr>
      <w:tr>
        <w:tc>
          <w:tcPr>
            <w:tcW w:type="dxa" w:w="1728"/>
          </w:tcPr>
          <w:p>
            <w:r>
              <w:rPr>
                <w:rFonts w:ascii="Calibri" w:hAnsi="Calibri"/>
                <w:sz w:val="22"/>
              </w:rPr>
              <w:t>Q2 2026 Adj. EBITDA</w:t>
            </w:r>
          </w:p>
        </w:tc>
        <w:tc>
          <w:tcPr>
            <w:tcW w:type="dxa" w:w="1728"/>
          </w:tcPr>
          <w:p>
            <w:r>
              <w:rPr>
                <w:rFonts w:ascii="Calibri" w:hAnsi="Calibri"/>
                <w:sz w:val="22"/>
              </w:rPr>
              <w:t>$765M ±$5M</w:t>
            </w:r>
          </w:p>
        </w:tc>
        <w:tc>
          <w:tcPr>
            <w:tcW w:type="dxa" w:w="1728"/>
          </w:tcPr>
          <w:p>
            <w:r>
              <w:rPr>
                <w:rFonts w:ascii="Calibri" w:hAnsi="Calibri"/>
                <w:sz w:val="22"/>
              </w:rPr>
              <w:t>—</w:t>
            </w:r>
          </w:p>
        </w:tc>
        <w:tc>
          <w:tcPr>
            <w:tcW w:type="dxa" w:w="1728"/>
          </w:tcPr>
          <w:p>
            <w:r>
              <w:rPr>
                <w:rFonts w:ascii="Calibri" w:hAnsi="Calibri"/>
                <w:sz w:val="22"/>
              </w:rPr>
              <w:t>$773M</w:t>
            </w:r>
          </w:p>
        </w:tc>
        <w:tc>
          <w:tcPr>
            <w:tcW w:type="dxa" w:w="1728"/>
          </w:tcPr>
          <w:p>
            <w:r>
              <w:rPr>
                <w:rFonts w:ascii="Calibri" w:hAnsi="Calibri"/>
                <w:sz w:val="22"/>
              </w:rPr>
              <w:t>Consensus +1.0% above midpoint; incremental margin guide ~51%</w:t>
            </w:r>
          </w:p>
        </w:tc>
      </w:tr>
      <w:tr>
        <w:tc>
          <w:tcPr>
            <w:tcW w:type="dxa" w:w="1728"/>
          </w:tcPr>
          <w:p>
            <w:r>
              <w:rPr>
                <w:rFonts w:ascii="Calibri" w:hAnsi="Calibri"/>
                <w:sz w:val="22"/>
              </w:rPr>
              <w:t>Q2 2026 Op. EPS</w:t>
            </w:r>
          </w:p>
        </w:tc>
        <w:tc>
          <w:tcPr>
            <w:tcW w:type="dxa" w:w="1728"/>
          </w:tcPr>
          <w:p>
            <w:r>
              <w:rPr>
                <w:rFonts w:ascii="Calibri" w:hAnsi="Calibri"/>
                <w:sz w:val="22"/>
              </w:rPr>
              <w:t>$1.23 ±$0.01</w:t>
            </w:r>
          </w:p>
        </w:tc>
        <w:tc>
          <w:tcPr>
            <w:tcW w:type="dxa" w:w="1728"/>
          </w:tcPr>
          <w:p>
            <w:r>
              <w:rPr>
                <w:rFonts w:ascii="Calibri" w:hAnsi="Calibri"/>
                <w:sz w:val="22"/>
              </w:rPr>
              <w:t>—</w:t>
            </w:r>
          </w:p>
        </w:tc>
        <w:tc>
          <w:tcPr>
            <w:tcW w:type="dxa" w:w="1728"/>
          </w:tcPr>
          <w:p>
            <w:r>
              <w:rPr>
                <w:rFonts w:ascii="Calibri" w:hAnsi="Calibri"/>
                <w:sz w:val="22"/>
              </w:rPr>
              <w:t>$1.25</w:t>
            </w:r>
          </w:p>
        </w:tc>
        <w:tc>
          <w:tcPr>
            <w:tcW w:type="dxa" w:w="1728"/>
          </w:tcPr>
          <w:p>
            <w:r>
              <w:rPr>
                <w:rFonts w:ascii="Calibri" w:hAnsi="Calibri"/>
                <w:sz w:val="22"/>
              </w:rPr>
              <w:t>Consensus at top of range; no formal revision</w:t>
            </w:r>
          </w:p>
        </w:tc>
      </w:tr>
      <w:tr>
        <w:tc>
          <w:tcPr>
            <w:tcW w:type="dxa" w:w="1728"/>
          </w:tcPr>
          <w:p>
            <w:r>
              <w:rPr>
                <w:rFonts w:ascii="Calibri" w:hAnsi="Calibri"/>
                <w:sz w:val="22"/>
              </w:rPr>
              <w:t>FY 2026 Revenue</w:t>
            </w:r>
          </w:p>
        </w:tc>
        <w:tc>
          <w:tcPr>
            <w:tcW w:type="dxa" w:w="1728"/>
          </w:tcPr>
          <w:p>
            <w:r>
              <w:rPr>
                <w:rFonts w:ascii="Calibri" w:hAnsi="Calibri"/>
                <w:sz w:val="22"/>
              </w:rPr>
              <w:t>$9,650M ±$75M</w:t>
            </w:r>
          </w:p>
        </w:tc>
        <w:tc>
          <w:tcPr>
            <w:tcW w:type="dxa" w:w="1728"/>
          </w:tcPr>
          <w:p>
            <w:r>
              <w:rPr>
                <w:rFonts w:ascii="Calibri" w:hAnsi="Calibri"/>
                <w:sz w:val="22"/>
              </w:rPr>
              <w:t>—</w:t>
            </w:r>
          </w:p>
        </w:tc>
        <w:tc>
          <w:tcPr>
            <w:tcW w:type="dxa" w:w="1728"/>
          </w:tcPr>
          <w:p>
            <w:r>
              <w:rPr>
                <w:rFonts w:ascii="Calibri" w:hAnsi="Calibri"/>
                <w:sz w:val="22"/>
              </w:rPr>
              <w:t>$9,760M</w:t>
            </w:r>
          </w:p>
        </w:tc>
        <w:tc>
          <w:tcPr>
            <w:tcW w:type="dxa" w:w="1728"/>
          </w:tcPr>
          <w:p>
            <w:r>
              <w:rPr>
                <w:rFonts w:ascii="Calibri" w:hAnsi="Calibri"/>
                <w:sz w:val="22"/>
              </w:rPr>
              <w:t>Consensus +1.1% above midpoint; organic growth guide raised from 10% to 14% at Q1 print</w:t>
            </w:r>
          </w:p>
        </w:tc>
      </w:tr>
      <w:tr>
        <w:tc>
          <w:tcPr>
            <w:tcW w:type="dxa" w:w="1728"/>
          </w:tcPr>
          <w:p>
            <w:r>
              <w:rPr>
                <w:rFonts w:ascii="Calibri" w:hAnsi="Calibri"/>
                <w:sz w:val="22"/>
              </w:rPr>
              <w:t>FY 2026 Adj. EBITDA</w:t>
            </w:r>
          </w:p>
        </w:tc>
        <w:tc>
          <w:tcPr>
            <w:tcW w:type="dxa" w:w="1728"/>
          </w:tcPr>
          <w:p>
            <w:r>
              <w:rPr>
                <w:rFonts w:ascii="Calibri" w:hAnsi="Calibri"/>
                <w:sz w:val="22"/>
              </w:rPr>
              <w:t>$3,060M ±$35M</w:t>
            </w:r>
          </w:p>
        </w:tc>
        <w:tc>
          <w:tcPr>
            <w:tcW w:type="dxa" w:w="1728"/>
          </w:tcPr>
          <w:p>
            <w:r>
              <w:rPr>
                <w:rFonts w:ascii="Calibri" w:hAnsi="Calibri"/>
                <w:sz w:val="22"/>
              </w:rPr>
              <w:t>—</w:t>
            </w:r>
          </w:p>
        </w:tc>
        <w:tc>
          <w:tcPr>
            <w:tcW w:type="dxa" w:w="1728"/>
          </w:tcPr>
          <w:p>
            <w:r>
              <w:rPr>
                <w:rFonts w:ascii="Calibri" w:hAnsi="Calibri"/>
                <w:sz w:val="22"/>
              </w:rPr>
              <w:t>$3,116M</w:t>
            </w:r>
          </w:p>
        </w:tc>
        <w:tc>
          <w:tcPr>
            <w:tcW w:type="dxa" w:w="1728"/>
          </w:tcPr>
          <w:p>
            <w:r>
              <w:rPr>
                <w:rFonts w:ascii="Calibri" w:hAnsi="Calibri"/>
                <w:sz w:val="22"/>
              </w:rPr>
              <w:t>Consensus +1.8% above midpoint; margin ~31.9%</w:t>
            </w:r>
          </w:p>
        </w:tc>
      </w:tr>
      <w:tr>
        <w:tc>
          <w:tcPr>
            <w:tcW w:type="dxa" w:w="1728"/>
          </w:tcPr>
          <w:p>
            <w:r>
              <w:rPr>
                <w:rFonts w:ascii="Calibri" w:hAnsi="Calibri"/>
                <w:sz w:val="22"/>
              </w:rPr>
              <w:t>FY 2026 Op. EPS</w:t>
            </w:r>
          </w:p>
        </w:tc>
        <w:tc>
          <w:tcPr>
            <w:tcW w:type="dxa" w:w="1728"/>
          </w:tcPr>
          <w:p>
            <w:r>
              <w:rPr>
                <w:rFonts w:ascii="Calibri" w:hAnsi="Calibri"/>
                <w:sz w:val="22"/>
              </w:rPr>
              <w:t>$4.94 ±$0.06</w:t>
            </w:r>
          </w:p>
        </w:tc>
        <w:tc>
          <w:tcPr>
            <w:tcW w:type="dxa" w:w="1728"/>
          </w:tcPr>
          <w:p>
            <w:r>
              <w:rPr>
                <w:rFonts w:ascii="Calibri" w:hAnsi="Calibri"/>
                <w:sz w:val="22"/>
              </w:rPr>
              <w:t>—</w:t>
            </w:r>
          </w:p>
        </w:tc>
        <w:tc>
          <w:tcPr>
            <w:tcW w:type="dxa" w:w="1728"/>
          </w:tcPr>
          <w:p>
            <w:r>
              <w:rPr>
                <w:rFonts w:ascii="Calibri" w:hAnsi="Calibri"/>
                <w:sz w:val="22"/>
              </w:rPr>
              <w:t>$5.05</w:t>
            </w:r>
          </w:p>
        </w:tc>
        <w:tc>
          <w:tcPr>
            <w:tcW w:type="dxa" w:w="1728"/>
          </w:tcPr>
          <w:p>
            <w:r>
              <w:rPr>
                <w:rFonts w:ascii="Calibri" w:hAnsi="Calibri"/>
                <w:sz w:val="22"/>
              </w:rPr>
              <w:t>Consensus +2.2% above midpoint; reflects consistent beat pattern</w:t>
            </w:r>
          </w:p>
        </w:tc>
      </w:tr>
      <w:tr>
        <w:tc>
          <w:tcPr>
            <w:tcW w:type="dxa" w:w="1728"/>
          </w:tcPr>
          <w:p>
            <w:r>
              <w:rPr>
                <w:rFonts w:ascii="Calibri" w:hAnsi="Calibri"/>
                <w:sz w:val="22"/>
              </w:rPr>
              <w:t>FY 2026 Free Cash Flow</w:t>
            </w:r>
          </w:p>
        </w:tc>
        <w:tc>
          <w:tcPr>
            <w:tcW w:type="dxa" w:w="1728"/>
          </w:tcPr>
          <w:p>
            <w:r>
              <w:rPr>
                <w:rFonts w:ascii="Calibri" w:hAnsi="Calibri"/>
                <w:sz w:val="22"/>
              </w:rPr>
              <w:t>$1,750M ±$50M</w:t>
            </w:r>
          </w:p>
        </w:tc>
        <w:tc>
          <w:tcPr>
            <w:tcW w:type="dxa" w:w="1728"/>
          </w:tcPr>
          <w:p>
            <w:r>
              <w:rPr>
                <w:rFonts w:ascii="Calibri" w:hAnsi="Calibri"/>
                <w:sz w:val="22"/>
              </w:rPr>
              <w:t>—</w:t>
            </w:r>
          </w:p>
        </w:tc>
        <w:tc>
          <w:tcPr>
            <w:tcW w:type="dxa" w:w="1728"/>
          </w:tcPr>
          <w:p>
            <w:r>
              <w:rPr>
                <w:rFonts w:ascii="Calibri" w:hAnsi="Calibri"/>
                <w:sz w:val="22"/>
              </w:rPr>
              <w:t>$1,817M</w:t>
            </w:r>
          </w:p>
        </w:tc>
        <w:tc>
          <w:tcPr>
            <w:tcW w:type="dxa" w:w="1728"/>
          </w:tcPr>
          <w:p>
            <w:r>
              <w:rPr>
                <w:rFonts w:ascii="Calibri" w:hAnsi="Calibri"/>
                <w:sz w:val="22"/>
              </w:rPr>
              <w:t>Consensus +3.8% above midpoint; CapEx trending ~$500M (up from $470M prior midpoint)</w:t>
            </w:r>
          </w:p>
        </w:tc>
      </w:tr>
      <w:tr>
        <w:tc>
          <w:tcPr>
            <w:tcW w:type="dxa" w:w="1728"/>
          </w:tcPr>
          <w:p>
            <w:r>
              <w:rPr>
                <w:rFonts w:ascii="Calibri" w:hAnsi="Calibri"/>
                <w:sz w:val="22"/>
              </w:rPr>
              <w:t>FY 2026 Organic Revenue Growth</w:t>
            </w:r>
          </w:p>
        </w:tc>
        <w:tc>
          <w:tcPr>
            <w:tcW w:type="dxa" w:w="1728"/>
          </w:tcPr>
          <w:p>
            <w:r>
              <w:rPr>
                <w:rFonts w:ascii="Calibri" w:hAnsi="Calibri"/>
                <w:sz w:val="22"/>
              </w:rPr>
              <w:t>~14% (raised from ~10% at Q4 2025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2026 earnings; Bernstein conference tone incrementally positive on IGT breadth</w:t>
            </w:r>
          </w:p>
        </w:tc>
      </w:tr>
      <w:tr>
        <w:tc>
          <w:tcPr>
            <w:tcW w:type="dxa" w:w="1728"/>
          </w:tcPr>
          <w:p>
            <w:r>
              <w:rPr>
                <w:rFonts w:ascii="Calibri" w:hAnsi="Calibri"/>
                <w:sz w:val="22"/>
              </w:rPr>
              <w:t>Boeing 737 Rate Assumption</w:t>
            </w:r>
          </w:p>
        </w:tc>
        <w:tc>
          <w:tcPr>
            <w:tcW w:type="dxa" w:w="1728"/>
          </w:tcPr>
          <w:p>
            <w:r>
              <w:rPr>
                <w:rFonts w:ascii="Calibri" w:hAnsi="Calibri"/>
                <w:sz w:val="22"/>
              </w:rPr>
              <w:t>Avg. 42/month for FY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Boeing Q2 call (Jul 28) confirmed ramp to 47/month; upside vs. HWM's 42/month assumption</w:t>
            </w:r>
          </w:p>
        </w:tc>
      </w:tr>
    </w:tbl>
    <w:p>
      <w:r>
        <w:rPr>
          <w:rFonts w:ascii="Calibri" w:hAnsi="Calibri"/>
          <w:i/>
          <w:color w:val="525866"/>
          <w:sz w:val="22"/>
        </w:rPr>
        <w:t>Source: Q1 2026 Earnings Call transcript (May 7, 2026); Bernstein Conference (June 2026); Visible Alpha Consensus and Actuals Data. No 8-K or pre-announcement filed between May 7 and August 5,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barely moved since the Q1 print — Q2 revenue and EPS revisions are essentially flat (+0.2% and +0.3% respectively), while FY 2026 estimates are up modestly (+0.1% to +0.8%), suggesting the street is tracking guidance rather than pricing in incremental upside. The gap between consensus and guidance midpoints (~1–2%) is consistent with HWM's historical beat pattern and represents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$2,422M</w:t>
            </w:r>
          </w:p>
        </w:tc>
        <w:tc>
          <w:tcPr>
            <w:tcW w:type="dxa" w:w="1080"/>
          </w:tcPr>
          <w:p>
            <w:r>
              <w:rPr>
                <w:rFonts w:ascii="Calibri" w:hAnsi="Calibri"/>
                <w:sz w:val="22"/>
              </w:rPr>
              <w:t>$2,427M</w:t>
            </w:r>
          </w:p>
        </w:tc>
        <w:tc>
          <w:tcPr>
            <w:tcW w:type="dxa" w:w="1080"/>
          </w:tcPr>
          <w:p>
            <w:r>
              <w:rPr>
                <w:rFonts w:ascii="Calibri" w:hAnsi="Calibri"/>
                <w:sz w:val="22"/>
              </w:rPr>
              <w:t>+0.2%</w:t>
            </w:r>
          </w:p>
        </w:tc>
        <w:tc>
          <w:tcPr>
            <w:tcW w:type="dxa" w:w="1080"/>
          </w:tcPr>
          <w:p>
            <w:r>
              <w:rPr>
                <w:rFonts w:ascii="Calibri" w:hAnsi="Calibri"/>
                <w:sz w:val="22"/>
              </w:rPr>
              <w:t>$2,400M ±$10M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Adj. EBITDA — Q2 2026</w:t>
            </w:r>
          </w:p>
        </w:tc>
        <w:tc>
          <w:tcPr>
            <w:tcW w:type="dxa" w:w="1080"/>
          </w:tcPr>
          <w:p>
            <w:r>
              <w:rPr>
                <w:rFonts w:ascii="Calibri" w:hAnsi="Calibri"/>
                <w:sz w:val="22"/>
              </w:rPr>
              <w:t>$772M</w:t>
            </w:r>
          </w:p>
        </w:tc>
        <w:tc>
          <w:tcPr>
            <w:tcW w:type="dxa" w:w="1080"/>
          </w:tcPr>
          <w:p>
            <w:r>
              <w:rPr>
                <w:rFonts w:ascii="Calibri" w:hAnsi="Calibri"/>
                <w:sz w:val="22"/>
              </w:rPr>
              <w:t>$773M</w:t>
            </w:r>
          </w:p>
        </w:tc>
        <w:tc>
          <w:tcPr>
            <w:tcW w:type="dxa" w:w="1080"/>
          </w:tcPr>
          <w:p>
            <w:r>
              <w:rPr>
                <w:rFonts w:ascii="Calibri" w:hAnsi="Calibri"/>
                <w:sz w:val="22"/>
              </w:rPr>
              <w:t>+0.2%</w:t>
            </w:r>
          </w:p>
        </w:tc>
        <w:tc>
          <w:tcPr>
            <w:tcW w:type="dxa" w:w="1080"/>
          </w:tcPr>
          <w:p>
            <w:r>
              <w:rPr>
                <w:rFonts w:ascii="Calibri" w:hAnsi="Calibri"/>
                <w:sz w:val="22"/>
              </w:rPr>
              <w:t>$765M ±$5M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w:t>
            </w:r>
          </w:p>
        </w:tc>
      </w:tr>
      <w:tr>
        <w:tc>
          <w:tcPr>
            <w:tcW w:type="dxa" w:w="1080"/>
          </w:tcPr>
          <w:p>
            <w:r>
              <w:rPr>
                <w:rFonts w:ascii="Calibri" w:hAnsi="Calibri"/>
                <w:sz w:val="22"/>
              </w:rPr>
              <w:t>Op. EPS — Q2 2026</w:t>
            </w:r>
          </w:p>
        </w:tc>
        <w:tc>
          <w:tcPr>
            <w:tcW w:type="dxa" w:w="1080"/>
          </w:tcPr>
          <w:p>
            <w:r>
              <w:rPr>
                <w:rFonts w:ascii="Calibri" w:hAnsi="Calibri"/>
                <w:sz w:val="22"/>
              </w:rPr>
              <w:t>$1.244</w:t>
            </w:r>
          </w:p>
        </w:tc>
        <w:tc>
          <w:tcPr>
            <w:tcW w:type="dxa" w:w="1080"/>
          </w:tcPr>
          <w:p>
            <w:r>
              <w:rPr>
                <w:rFonts w:ascii="Calibri" w:hAnsi="Calibri"/>
                <w:sz w:val="22"/>
              </w:rPr>
              <w:t>$1.248</w:t>
            </w:r>
          </w:p>
        </w:tc>
        <w:tc>
          <w:tcPr>
            <w:tcW w:type="dxa" w:w="1080"/>
          </w:tcPr>
          <w:p>
            <w:r>
              <w:rPr>
                <w:rFonts w:ascii="Calibri" w:hAnsi="Calibri"/>
                <w:sz w:val="22"/>
              </w:rPr>
              <w:t>+0.3%</w:t>
            </w:r>
          </w:p>
        </w:tc>
        <w:tc>
          <w:tcPr>
            <w:tcW w:type="dxa" w:w="1080"/>
          </w:tcPr>
          <w:p>
            <w:r>
              <w:rPr>
                <w:rFonts w:ascii="Calibri" w:hAnsi="Calibri"/>
                <w:sz w:val="22"/>
              </w:rPr>
              <w:t>$1.23 ±$0.01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w:t>
            </w:r>
          </w:p>
        </w:tc>
      </w:tr>
      <w:tr>
        <w:tc>
          <w:tcPr>
            <w:tcW w:type="dxa" w:w="1080"/>
          </w:tcPr>
          <w:p>
            <w:r>
              <w:rPr>
                <w:rFonts w:ascii="Calibri" w:hAnsi="Calibri"/>
                <w:sz w:val="22"/>
              </w:rPr>
              <w:t>Free Cash Flow — Q2 2026</w:t>
            </w:r>
          </w:p>
        </w:tc>
        <w:tc>
          <w:tcPr>
            <w:tcW w:type="dxa" w:w="1080"/>
          </w:tcPr>
          <w:p>
            <w:r>
              <w:rPr>
                <w:rFonts w:ascii="Calibri" w:hAnsi="Calibri"/>
                <w:sz w:val="22"/>
              </w:rPr>
              <w:t>$414M</w:t>
            </w:r>
          </w:p>
        </w:tc>
        <w:tc>
          <w:tcPr>
            <w:tcW w:type="dxa" w:w="1080"/>
          </w:tcPr>
          <w:p>
            <w:r>
              <w:rPr>
                <w:rFonts w:ascii="Calibri" w:hAnsi="Calibri"/>
                <w:sz w:val="22"/>
              </w:rPr>
              <w:t>$420M</w:t>
            </w:r>
          </w:p>
        </w:tc>
        <w:tc>
          <w:tcPr>
            <w:tcW w:type="dxa" w:w="1080"/>
          </w:tcPr>
          <w:p>
            <w:r>
              <w:rPr>
                <w:rFonts w:ascii="Calibri" w:hAnsi="Calibri"/>
                <w:sz w:val="22"/>
              </w:rPr>
              <w:t>+1.4%</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$9,752M</w:t>
            </w:r>
          </w:p>
        </w:tc>
        <w:tc>
          <w:tcPr>
            <w:tcW w:type="dxa" w:w="1080"/>
          </w:tcPr>
          <w:p>
            <w:r>
              <w:rPr>
                <w:rFonts w:ascii="Calibri" w:hAnsi="Calibri"/>
                <w:sz w:val="22"/>
              </w:rPr>
              <w:t>$9,760M</w:t>
            </w:r>
          </w:p>
        </w:tc>
        <w:tc>
          <w:tcPr>
            <w:tcW w:type="dxa" w:w="1080"/>
          </w:tcPr>
          <w:p>
            <w:r>
              <w:rPr>
                <w:rFonts w:ascii="Calibri" w:hAnsi="Calibri"/>
                <w:sz w:val="22"/>
              </w:rPr>
              <w:t>+0.1%</w:t>
            </w:r>
          </w:p>
        </w:tc>
        <w:tc>
          <w:tcPr>
            <w:tcW w:type="dxa" w:w="1080"/>
          </w:tcPr>
          <w:p>
            <w:r>
              <w:rPr>
                <w:rFonts w:ascii="Calibri" w:hAnsi="Calibri"/>
                <w:sz w:val="22"/>
              </w:rPr>
              <w:t>$9,650M ±$75M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Adj. EBITDA — FY 2026</w:t>
            </w:r>
          </w:p>
        </w:tc>
        <w:tc>
          <w:tcPr>
            <w:tcW w:type="dxa" w:w="1080"/>
          </w:tcPr>
          <w:p>
            <w:r>
              <w:rPr>
                <w:rFonts w:ascii="Calibri" w:hAnsi="Calibri"/>
                <w:sz w:val="22"/>
              </w:rPr>
              <w:t>$3,114M</w:t>
            </w:r>
          </w:p>
        </w:tc>
        <w:tc>
          <w:tcPr>
            <w:tcW w:type="dxa" w:w="1080"/>
          </w:tcPr>
          <w:p>
            <w:r>
              <w:rPr>
                <w:rFonts w:ascii="Calibri" w:hAnsi="Calibri"/>
                <w:sz w:val="22"/>
              </w:rPr>
              <w:t>$3,116M</w:t>
            </w:r>
          </w:p>
        </w:tc>
        <w:tc>
          <w:tcPr>
            <w:tcW w:type="dxa" w:w="1080"/>
          </w:tcPr>
          <w:p>
            <w:r>
              <w:rPr>
                <w:rFonts w:ascii="Calibri" w:hAnsi="Calibri"/>
                <w:sz w:val="22"/>
              </w:rPr>
              <w:t>+0.1%</w:t>
            </w:r>
          </w:p>
        </w:tc>
        <w:tc>
          <w:tcPr>
            <w:tcW w:type="dxa" w:w="1080"/>
          </w:tcPr>
          <w:p>
            <w:r>
              <w:rPr>
                <w:rFonts w:ascii="Calibri" w:hAnsi="Calibri"/>
                <w:sz w:val="22"/>
              </w:rPr>
              <w:t>$3,060M ±$35M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w:t>
            </w:r>
          </w:p>
        </w:tc>
      </w:tr>
      <w:tr>
        <w:tc>
          <w:tcPr>
            <w:tcW w:type="dxa" w:w="1080"/>
          </w:tcPr>
          <w:p>
            <w:r>
              <w:rPr>
                <w:rFonts w:ascii="Calibri" w:hAnsi="Calibri"/>
                <w:sz w:val="22"/>
              </w:rPr>
              <w:t>Op. EPS — FY 2026</w:t>
            </w:r>
          </w:p>
        </w:tc>
        <w:tc>
          <w:tcPr>
            <w:tcW w:type="dxa" w:w="1080"/>
          </w:tcPr>
          <w:p>
            <w:r>
              <w:rPr>
                <w:rFonts w:ascii="Calibri" w:hAnsi="Calibri"/>
                <w:sz w:val="22"/>
              </w:rPr>
              <w:t>$5.061</w:t>
            </w:r>
          </w:p>
        </w:tc>
        <w:tc>
          <w:tcPr>
            <w:tcW w:type="dxa" w:w="1080"/>
          </w:tcPr>
          <w:p>
            <w:r>
              <w:rPr>
                <w:rFonts w:ascii="Calibri" w:hAnsi="Calibri"/>
                <w:sz w:val="22"/>
              </w:rPr>
              <w:t>$5.054</w:t>
            </w:r>
          </w:p>
        </w:tc>
        <w:tc>
          <w:tcPr>
            <w:tcW w:type="dxa" w:w="1080"/>
          </w:tcPr>
          <w:p>
            <w:r>
              <w:rPr>
                <w:rFonts w:ascii="Calibri" w:hAnsi="Calibri"/>
                <w:sz w:val="22"/>
              </w:rPr>
              <w:t>-0.1%</w:t>
            </w:r>
          </w:p>
        </w:tc>
        <w:tc>
          <w:tcPr>
            <w:tcW w:type="dxa" w:w="1080"/>
          </w:tcPr>
          <w:p>
            <w:r>
              <w:rPr>
                <w:rFonts w:ascii="Calibri" w:hAnsi="Calibri"/>
                <w:sz w:val="22"/>
              </w:rPr>
              <w:t>$4.94 ±$0.06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w:t>
            </w:r>
          </w:p>
        </w:tc>
      </w:tr>
      <w:tr>
        <w:tc>
          <w:tcPr>
            <w:tcW w:type="dxa" w:w="1080"/>
          </w:tcPr>
          <w:p>
            <w:r>
              <w:rPr>
                <w:rFonts w:ascii="Calibri" w:hAnsi="Calibri"/>
                <w:sz w:val="22"/>
              </w:rPr>
              <w:t>Free Cash Flow — FY 2026</w:t>
            </w:r>
          </w:p>
        </w:tc>
        <w:tc>
          <w:tcPr>
            <w:tcW w:type="dxa" w:w="1080"/>
          </w:tcPr>
          <w:p>
            <w:r>
              <w:rPr>
                <w:rFonts w:ascii="Calibri" w:hAnsi="Calibri"/>
                <w:sz w:val="22"/>
              </w:rPr>
              <w:t>$1,818M</w:t>
            </w:r>
          </w:p>
        </w:tc>
        <w:tc>
          <w:tcPr>
            <w:tcW w:type="dxa" w:w="1080"/>
          </w:tcPr>
          <w:p>
            <w:r>
              <w:rPr>
                <w:rFonts w:ascii="Calibri" w:hAnsi="Calibri"/>
                <w:sz w:val="22"/>
              </w:rPr>
              <w:t>$1,817M</w:t>
            </w:r>
          </w:p>
        </w:tc>
        <w:tc>
          <w:tcPr>
            <w:tcW w:type="dxa" w:w="1080"/>
          </w:tcPr>
          <w:p>
            <w:r>
              <w:rPr>
                <w:rFonts w:ascii="Calibri" w:hAnsi="Calibri"/>
                <w:sz w:val="22"/>
              </w:rPr>
              <w:t>-0.1%</w:t>
            </w:r>
          </w:p>
        </w:tc>
        <w:tc>
          <w:tcPr>
            <w:tcW w:type="dxa" w:w="1080"/>
          </w:tcPr>
          <w:p>
            <w:r>
              <w:rPr>
                <w:rFonts w:ascii="Calibri" w:hAnsi="Calibri"/>
                <w:sz w:val="22"/>
              </w:rPr>
              <w:t>$1,750M ±$50M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+3.8%</w:t>
            </w:r>
          </w:p>
        </w:tc>
      </w:tr>
    </w:tbl>
    <w:p>
      <w:r>
        <w:rPr>
          <w:rFonts w:ascii="Calibri" w:hAnsi="Calibri"/>
          <w:i/>
          <w:color w:val="525866"/>
          <w:sz w:val="22"/>
        </w:rPr>
        <w:t>Source: Visible Alpha Consensus and Actuals Data. Baseline as of ~May 14, 2026 (5 trading days post Q1 earnings). Estimate Δ reflects change from post-print baseline to current. The near-zero revision across all KPIs confirms the street is anchored to guidance rather than building in incremental upside — a setup that historically has favored HWM given its consistent beat pattern.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HWM has underperformed ITA meaningfully since Q1 earnings (+6.9% vs. +13.4% for ITA and +5.2% for SPY), despite a strong beat-and-raise print — the lag likely reflects CAM acquisition leverage digestion and macro uncertainty, not fundamental deterioration, and sets up a potentially favorable re-rating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HWM vs. ITA (iShares U.S. Aerospace &amp; Defense ETF) vs. S&amp;P 500 (SPY) — Indexed to 100 at Q1 2026 Earnings (May 7, 2026). Source: Stock Price Data (Yahoo Finance).</w:t>
      </w:r>
    </w:p>
    <w:p>
      <w:r>
        <w:rPr>
          <w:rFonts w:ascii="Calibri" w:hAnsi="Calibri"/>
          <w:color w:val="525866"/>
          <w:sz w:val="22"/>
        </w:rPr>
        <w:t xml:space="preserve">Since the Q1 2026 earnings print on May 7, HWM has returned +6.9% vs. +13.4% for ITA and +5.2% for SPY. The underperformance vs. ITA is notable given HWM's strong Q1 beat and materially raised FY guidance. The stock initially sold off in mid-May (from ~$273 to ~$253 by May 19) despite the strong print, likely reflecting the market's digestion of the CAM acquisition (net leverage moved to 1.6x) and macro uncertainty flagged by management around the Iran conflict and oil price shock. A recovery rally followed through mid-June (reaching ~$283 by June 17), coinciding with the Bernstein conference where management provided incrementally positive commentary on IGT demand breadth. The stock then consolidated in the $265–$280 range through July before re-accelerating in late July and early August, likely benefiting from positive read-throughs from RTX (July 23), Boeing (July 28), and GE Aerospace (July 16) earnings. </w:t>
      </w:r>
      <w:r>
        <w:rPr>
          <w:rFonts w:ascii="Calibri" w:hAnsi="Calibri"/>
          <w:b/>
          <w:color w:val="525866"/>
          <w:sz w:val="22"/>
        </w:rPr>
        <w:t>The stock's relative underperformance vs. ITA despite strong fundamentals suggests multiple compression rather than earnings-driven weakness</w:t>
      </w:r>
      <w:r>
        <w:rPr>
          <w:rFonts w:ascii="Calibri" w:hAnsi="Calibri"/>
          <w:color w:val="525866"/>
          <w:sz w:val="22"/>
        </w:rPr>
        <w:t>, which could reverse sharply on a clean Q2 print with maintained or raised guidance.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Boeing's confirmation that 737 production is ramping to 47/month (vs. HWM's embedded 42/month assumption), which represents unmodeled upside to HWM's fastening systems and engine products revenue in H2 2026.</w:t>
      </w:r>
    </w:p>
    <w:p>
      <w:pPr>
        <w:pStyle w:val="ListBullet"/>
        <w:ind w:left="360" w:hanging="360"/>
      </w:pPr>
      <w:r>
        <w:rPr>
          <w:rFonts w:ascii="Calibri" w:hAnsi="Calibri"/>
          <w:b/>
          <w:color w:val="525866"/>
          <w:sz w:val="22"/>
        </w:rPr>
        <w:t>August 5, 2026 — HWM Q2 2026 Earnings Scheduled (Pre-Market, August 6):</w:t>
      </w:r>
      <w:r>
        <w:rPr>
          <w:rFonts w:ascii="Calibri" w:hAnsi="Calibri"/>
          <w:color w:val="525866"/>
          <w:sz w:val="22"/>
        </w:rPr>
        <w:t xml:space="preserve"> Results due before market open; conference call at 10:00 AM ET hosted by John Plant (CEO) and Patrick Winterlich (CFO). Consensus: $2.43B revenue, $1.25 EPS. Implication: Clean beat + maintained/raised FY guide would likely re-rate the stock toward the $294–$308 analyst PT range.</w:t>
      </w:r>
    </w:p>
    <w:p>
      <w:pPr>
        <w:pStyle w:val="ListBullet"/>
        <w:ind w:left="360" w:hanging="360"/>
      </w:pPr>
      <w:r>
        <w:rPr>
          <w:rFonts w:ascii="Calibri" w:hAnsi="Calibri"/>
          <w:b/>
          <w:color w:val="525866"/>
          <w:sz w:val="22"/>
        </w:rPr>
        <w:t>July 28, 2026 — Boeing (BA) Q2 2026 Earnings:</w:t>
      </w:r>
      <w:r>
        <w:rPr>
          <w:rFonts w:ascii="Calibri" w:hAnsi="Calibri"/>
          <w:color w:val="525866"/>
          <w:sz w:val="22"/>
        </w:rPr>
        <w:t xml:space="preserve"> Boeing confirmed 737 production ramping to 47/month (vs. HWM's embedded 42/month assumption) with factory rollouts expected to reach 47/month "this summer" and next rate break at 52/month. 787 stabilized at 8/month. Implication: </w:t>
      </w:r>
      <w:r>
        <w:rPr>
          <w:rFonts w:ascii="Calibri" w:hAnsi="Calibri"/>
          <w:b/>
          <w:color w:val="525866"/>
          <w:sz w:val="22"/>
        </w:rPr>
        <w:t>Positive read-through for HWM fastening systems and engine products — Boeing's rate is running above HWM's guidance assumption, representing unmodeled upside.</w:t>
      </w:r>
    </w:p>
    <w:p>
      <w:pPr>
        <w:pStyle w:val="ListBullet"/>
        <w:ind w:left="360" w:hanging="360"/>
      </w:pPr>
      <w:r>
        <w:rPr>
          <w:rFonts w:ascii="Calibri" w:hAnsi="Calibri"/>
          <w:b/>
          <w:color w:val="525866"/>
          <w:sz w:val="22"/>
        </w:rPr>
        <w:t>July 23, 2026 — RTX Q2 2026 Earnings:</w:t>
      </w:r>
      <w:r>
        <w:rPr>
          <w:rFonts w:ascii="Calibri" w:hAnsi="Calibri"/>
          <w:color w:val="525866"/>
          <w:sz w:val="22"/>
        </w:rPr>
        <w:t xml:space="preserve"> RTX reported 16% organic sales growth, raised FY 2026 guidance to $95–$96B (from $92.5–$93.5B), and highlighted "exceptional demand" with a record $289B backlog (+22% YoY). Pratt &amp; Whitney commercial aftermarket up 25%, GTF MRO output up 40%+ YoY. Implication: Strong engine spares demand directly benefits HWM's Engine Products segment (turbine airfoils for GTF, LEAP platforms).</w:t>
      </w:r>
    </w:p>
    <w:p>
      <w:pPr>
        <w:pStyle w:val="ListBullet"/>
        <w:ind w:left="360" w:hanging="360"/>
      </w:pPr>
      <w:r>
        <w:rPr>
          <w:rFonts w:ascii="Calibri" w:hAnsi="Calibri"/>
          <w:b/>
          <w:color w:val="525866"/>
          <w:sz w:val="22"/>
        </w:rPr>
        <w:t>July 22, 2026 — GE Vernova (GEV) Q2 2026 Earnings:</w:t>
      </w:r>
      <w:r>
        <w:rPr>
          <w:rFonts w:ascii="Calibri" w:hAnsi="Calibri"/>
          <w:color w:val="525866"/>
          <w:sz w:val="22"/>
        </w:rPr>
        <w:t xml:space="preserve"> GEV shipped 29 gas turbines (+38% YoY), signed 20 GW of orders, and raised FY 2026 FCF guidance to $11.5–$12.5B. Contracted backlog grew to 116 GW; targeting 20 GW annualized run rate in H2 2026 and 24 GW by 2028. Commentary noted "castings and forgings arriving in 2027" to support ramp. Implication: </w:t>
      </w:r>
      <w:r>
        <w:rPr>
          <w:rFonts w:ascii="Calibri" w:hAnsi="Calibri"/>
          <w:b/>
          <w:color w:val="525866"/>
          <w:sz w:val="22"/>
        </w:rPr>
        <w:t>Directly positive for HWM's IGT turbine airfoil business — GEV's production ramp requires sustained component supply from HWM.</w:t>
      </w:r>
    </w:p>
    <w:p>
      <w:pPr>
        <w:pStyle w:val="ListBullet"/>
        <w:ind w:left="360" w:hanging="360"/>
      </w:pPr>
      <w:r>
        <w:rPr>
          <w:rFonts w:ascii="Calibri" w:hAnsi="Calibri"/>
          <w:b/>
          <w:color w:val="525866"/>
          <w:sz w:val="22"/>
        </w:rPr>
        <w:t>July 16, 2026 — GE Aerospace (GE) Q2 2026 Earnings:</w:t>
      </w:r>
      <w:r>
        <w:rPr>
          <w:rFonts w:ascii="Calibri" w:hAnsi="Calibri"/>
          <w:color w:val="525866"/>
          <w:sz w:val="22"/>
        </w:rPr>
        <w:t xml:space="preserve"> GE reported 24% revenue growth, raised FY 2026 guidance to high-teens revenue growth and EPS of $7.65–$7.85. LEAP deliveries up 41% in H1; spare parts sales up 25% in Q2 (though spare parts delinquency grew 20% sequentially due to material availability constraints). Certified LEAP-1B durability kit including upgraded HPT blade. Implication: Spare parts delinquency growth signals supply constraints that HWM (as a key turbine airfoil supplier) is positioned to help resolve; HPT blade certification drives incremental demand.</w:t>
      </w:r>
    </w:p>
    <w:p>
      <w:pPr>
        <w:pStyle w:val="ListBullet"/>
        <w:ind w:left="360" w:hanging="360"/>
      </w:pPr>
      <w:r>
        <w:rPr>
          <w:rFonts w:ascii="Calibri" w:hAnsi="Calibri"/>
          <w:b/>
          <w:color w:val="525866"/>
          <w:sz w:val="22"/>
        </w:rPr>
        <w:t>July 9, 2026 — HWM Announces Q2 2026 Earnings Date:</w:t>
      </w:r>
      <w:r>
        <w:rPr>
          <w:rFonts w:ascii="Calibri" w:hAnsi="Calibri"/>
          <w:color w:val="525866"/>
          <w:sz w:val="22"/>
        </w:rPr>
        <w:t xml:space="preserve"> Confirmed August 6, 2026 pre-market release with 10:00 AM ET conference call.</w:t>
      </w:r>
    </w:p>
    <w:p>
      <w:pPr>
        <w:pStyle w:val="ListBullet"/>
        <w:ind w:left="360" w:hanging="360"/>
      </w:pPr>
      <w:r>
        <w:rPr>
          <w:rFonts w:ascii="Calibri" w:hAnsi="Calibri"/>
          <w:b/>
          <w:color w:val="525866"/>
          <w:sz w:val="22"/>
        </w:rPr>
        <w:t>June 2026 — Bernstein Conference (Management Commentary):</w:t>
      </w:r>
      <w:r>
        <w:rPr>
          <w:rFonts w:ascii="Calibri" w:hAnsi="Calibri"/>
          <w:color w:val="525866"/>
          <w:sz w:val="22"/>
        </w:rPr>
        <w:t xml:space="preserve"> John Plant provided incrementally positive commentary on IGT demand: demand now coming from small/mid-sized turbine manufacturers (Solar/Caterpillar, Baker Hughes, Doosan) in addition to large OEMs, and from LNG compression/liquefaction applications. Management articulated a scenario where the global gas turbine fleet could nearly double over 5 years. Six of seven major IGT customer contracts finalized (seventh — described as "very significant" — expected to close during Q2). Implication: </w:t>
      </w:r>
      <w:r>
        <w:rPr>
          <w:rFonts w:ascii="Calibri" w:hAnsi="Calibri"/>
          <w:b/>
          <w:color w:val="525866"/>
          <w:sz w:val="22"/>
        </w:rPr>
        <w:t>If the seventh contract was finalized in Q2, management will likely announce it on the earnings call — a potential positive catalyst.</w:t>
      </w:r>
    </w:p>
    <w:p>
      <w:pPr>
        <w:pStyle w:val="ListBullet"/>
        <w:ind w:left="360" w:hanging="360"/>
      </w:pPr>
      <w:r>
        <w:rPr>
          <w:rFonts w:ascii="Calibri" w:hAnsi="Calibri"/>
          <w:b/>
          <w:color w:val="525866"/>
          <w:sz w:val="22"/>
        </w:rPr>
        <w:t>May 2026 — Dividend Increase:</w:t>
      </w:r>
      <w:r>
        <w:rPr>
          <w:rFonts w:ascii="Calibri" w:hAnsi="Calibri"/>
          <w:color w:val="525866"/>
          <w:sz w:val="22"/>
        </w:rPr>
        <w:t xml:space="preserve"> HWM raised its quarterly dividend from $0.12 to $0.14 per share (record date August 7, 2026; payment date August 25, 2026), representing a 17% increase. Annualized yield ~0.2% at current price. Implication: Signals management confidence in FCF generation despite elevated CapEx.</w:t>
      </w:r>
    </w:p>
    <w:p>
      <w:pPr>
        <w:pStyle w:val="ListBullet"/>
        <w:ind w:left="360" w:hanging="360"/>
      </w:pPr>
      <w:r>
        <w:rPr>
          <w:rFonts w:ascii="Calibri" w:hAnsi="Calibri"/>
          <w:b/>
          <w:color w:val="525866"/>
          <w:sz w:val="22"/>
        </w:rPr>
        <w:t>April 6, 2026 — CAM Fastener Acquisition Closed:</w:t>
      </w:r>
      <w:r>
        <w:rPr>
          <w:rFonts w:ascii="Calibri" w:hAnsi="Calibri"/>
          <w:color w:val="525866"/>
          <w:sz w:val="22"/>
        </w:rPr>
        <w:t xml:space="preserve"> HWM closed the CAM acquisition for ~$1.8B, adding ~$275M revenue and ~$60M EBITDA to the remainder of 2026. Net leverage moved to 1.6x post-close (from 0.9x pre-close). CAM's current margin (~20%) is below HWM's fastening systems average, creating near-term margin dilution before improvement over 1–2 years. Implication: Fastening Systems segment revenue will be significantly elevated in Q2 vs. prior year due to CAM consolidation.</w:t>
      </w:r>
    </w:p>
    <w:p>
      <w:pPr>
        <w:pStyle w:val="ListBullet"/>
        <w:ind w:left="360" w:hanging="360"/>
      </w:pPr>
      <w:r>
        <w:rPr>
          <w:rFonts w:ascii="Calibri" w:hAnsi="Calibri"/>
          <w:b/>
          <w:color w:val="525866"/>
          <w:sz w:val="22"/>
        </w:rPr>
        <w:t>March 31, 2026 — Savannah Disk Forging Divestiture:</w:t>
      </w:r>
      <w:r>
        <w:rPr>
          <w:rFonts w:ascii="Calibri" w:hAnsi="Calibri"/>
          <w:color w:val="525866"/>
          <w:sz w:val="22"/>
        </w:rPr>
        <w:t xml:space="preserve"> HWM sold its Savannah, GA disk forging operation for $230M cash, reducing exposure to lower-margin, lower-growth forging. Implication: Engineered Structures segment revenue will be lower YoY in Q2 due to this divestiture.</w:t>
      </w:r>
    </w:p>
    <w:p>
      <w:pPr>
        <w:pStyle w:val="ListBullet"/>
        <w:ind w:left="360" w:hanging="360"/>
      </w:pPr>
      <w:r>
        <w:rPr>
          <w:rFonts w:ascii="Calibri" w:hAnsi="Calibri"/>
          <w:b/>
          <w:color w:val="525866"/>
          <w:sz w:val="22"/>
        </w:rPr>
        <w:t>Analyst Consensus (as of August 5, 2026):</w:t>
      </w:r>
      <w:r>
        <w:rPr>
          <w:rFonts w:ascii="Calibri" w:hAnsi="Calibri"/>
          <w:color w:val="525866"/>
          <w:sz w:val="22"/>
        </w:rPr>
        <w:t xml:space="preserve"> 18 of 23 analysts rate HWM "Strong Buy," 1 "Moderate Buy," 4 "Hold." Average price target ~$294–$308 (vs. current ~$291), implying modest upside. Forward P/E ~51.7x vs. industry average ~34.5x — premium valuation reflects HWM's differentiated technology position and superior incremental margins.</w:t>
      </w:r>
    </w:p>
    <w:p>
      <w:r>
        <w:br w:type="page"/>
      </w:r>
    </w:p>
    <w:p>
      <w:pPr>
        <w:pStyle w:val="Heading2"/>
      </w:pPr>
      <w:r>
        <w:rPr>
          <w:rFonts w:ascii="Calibri" w:hAnsi="Calibri"/>
          <w:b/>
          <w:color w:val="3B4259"/>
          <w:sz w:val="28"/>
        </w:rPr>
        <w:t>7. Peer Commentaries — Read-Through for HWM Q2 2026</w:t>
      </w:r>
    </w:p>
    <w:p>
      <w:r>
        <w:rPr>
          <w:rFonts w:ascii="Calibri" w:hAnsi="Calibri"/>
          <w:b/>
          <w:color w:val="525866"/>
          <w:sz w:val="22"/>
        </w:rPr>
        <w:t xml:space="preserve">Key Takeaway: </w:t>
      </w:r>
      <w:r>
        <w:rPr>
          <w:rFonts w:ascii="Calibri" w:hAnsi="Calibri"/>
          <w:color w:val="525866"/>
          <w:sz w:val="22"/>
        </w:rPr>
        <w:t>All four major peers reporting in the last 60 days (GE Aerospace, GE Vernova, RTX, TransDigm) delivered strong beats and raised guidance, with commentary uniformly positive on commercial aerospace OEM/aftermarket demand, defense spending, and gas turbine growth — a highly constructive read-through for HWM's Q2 print across all three of its major end markets.</w:t>
      </w:r>
    </w:p>
    <w:p>
      <w:r>
        <w:rPr>
          <w:rFonts w:ascii="Calibri" w:hAnsi="Calibri"/>
          <w:i/>
          <w:color w:val="525866"/>
          <w:sz w:val="22"/>
        </w:rPr>
        <w:t>Note: Only commentary about Q2 2026 (the current reporting quarter) or forward-looking commentary made after Q1 2026 earnings is included below. Prior-quarter results commentary has been excluded.</w:t>
      </w:r>
    </w:p>
    <w:p>
      <w:pPr>
        <w:pStyle w:val="Heading3"/>
      </w:pPr>
      <w:r>
        <w:rPr>
          <w:rFonts w:ascii="Calibri" w:hAnsi="Calibri"/>
          <w:b/>
          <w:color w:val="3B4259"/>
          <w:sz w:val="24"/>
        </w:rPr>
        <w:t>GE Aerospace (GE) — Q2 2026 Earnings (July 16, 2026)</w:t>
      </w:r>
    </w:p>
    <w:p>
      <w:r>
        <w:rPr>
          <w:rFonts w:ascii="Calibri" w:hAnsi="Calibri"/>
          <w:b/>
          <w:color w:val="525866"/>
          <w:sz w:val="22"/>
        </w:rPr>
        <w:t xml:space="preserve">Relevance to HWM: </w:t>
      </w:r>
      <w:r>
        <w:rPr>
          <w:rFonts w:ascii="Calibri" w:hAnsi="Calibri"/>
          <w:color w:val="525866"/>
          <w:sz w:val="22"/>
        </w:rPr>
        <w:t>GE Aerospace is HWM's largest engine OEM customer for turbine airfoils (LEAP-1A/1B, GEnx, CF34). GE's commentary on engine production rates, spare parts demand, and HPT blade upgrades directly drives HWM's Engine Products segment.</w:t>
      </w:r>
    </w:p>
    <w:p>
      <w:pPr>
        <w:pStyle w:val="ListBullet"/>
        <w:ind w:left="360" w:hanging="360"/>
      </w:pPr>
      <w:r>
        <w:rPr>
          <w:rFonts w:ascii="Calibri" w:hAnsi="Calibri"/>
          <w:color w:val="525866"/>
          <w:sz w:val="22"/>
        </w:rPr>
        <w:t>Commercial engine deliveries up 26% in Q2, LEAP deliveries up 24%; total H1 engine deliveries up 31% (LEAP up 41%).</w:t>
      </w:r>
      <w:r>
        <w:rPr>
          <w:rFonts w:ascii="Calibri" w:hAnsi="Calibri"/>
          <w:b/>
          <w:color w:val="525866"/>
          <w:sz w:val="22"/>
        </w:rPr>
        <w:t xml:space="preserve"> HWM read-through: </w:t>
      </w:r>
      <w:r>
        <w:rPr>
          <w:rFonts w:ascii="Calibri" w:hAnsi="Calibri"/>
          <w:color w:val="525866"/>
          <w:sz w:val="22"/>
        </w:rPr>
        <w:t>Sustained high LEAP production rates require continuous turbine airfoil supply from HWM.</w:t>
      </w:r>
    </w:p>
    <w:p>
      <w:pPr>
        <w:pStyle w:val="ListBullet"/>
        <w:ind w:left="360" w:hanging="360"/>
      </w:pPr>
      <w:r>
        <w:rPr>
          <w:rFonts w:ascii="Calibri" w:hAnsi="Calibri"/>
          <w:color w:val="525866"/>
          <w:sz w:val="22"/>
        </w:rPr>
        <w:t>Spare parts sales up 25% in Q2 from "improved material availability"; commercial services backlog ~$170B; entering Q3 with &gt;95% of spare parts revenue already in backlog.</w:t>
      </w:r>
      <w:r>
        <w:rPr>
          <w:rFonts w:ascii="Calibri" w:hAnsi="Calibri"/>
          <w:b/>
          <w:color w:val="525866"/>
          <w:sz w:val="22"/>
        </w:rPr>
        <w:t xml:space="preserve"> HWM read-through: </w:t>
      </w:r>
      <w:r>
        <w:rPr>
          <w:rFonts w:ascii="Calibri" w:hAnsi="Calibri"/>
          <w:color w:val="525866"/>
          <w:sz w:val="22"/>
        </w:rPr>
        <w:t>Strong spares demand validates HWM's Q1 commentary that engine spares were up 48% YoY; Q3 visibility is high.</w:t>
      </w:r>
    </w:p>
    <w:p>
      <w:pPr>
        <w:pStyle w:val="ListBullet"/>
        <w:ind w:left="360" w:hanging="360"/>
      </w:pPr>
      <w:r>
        <w:rPr>
          <w:rFonts w:ascii="Calibri" w:hAnsi="Calibri"/>
          <w:color w:val="525866"/>
          <w:sz w:val="22"/>
        </w:rPr>
        <w:t>Spare parts delinquency (shipments delayed due to material availability) grew 20% sequentially in Q2.</w:t>
      </w:r>
      <w:r>
        <w:rPr>
          <w:rFonts w:ascii="Calibri" w:hAnsi="Calibri"/>
          <w:b/>
          <w:color w:val="525866"/>
          <w:sz w:val="22"/>
        </w:rPr>
        <w:t xml:space="preserve"> HWM read-through: </w:t>
      </w:r>
      <w:r>
        <w:rPr>
          <w:rFonts w:ascii="Calibri" w:hAnsi="Calibri"/>
          <w:color w:val="525866"/>
          <w:sz w:val="22"/>
        </w:rPr>
        <w:t>Supply constraints at GE signal that HWM's capacity expansion investments are critical and well-timed; HWM as a key supplier is positioned to benefit as new capacity comes online.</w:t>
      </w:r>
    </w:p>
    <w:p>
      <w:pPr>
        <w:pStyle w:val="ListBullet"/>
        <w:ind w:left="360" w:hanging="360"/>
      </w:pPr>
      <w:r>
        <w:rPr>
          <w:rFonts w:ascii="Calibri" w:hAnsi="Calibri"/>
          <w:color w:val="525866"/>
          <w:sz w:val="22"/>
        </w:rPr>
        <w:t>LEAP-1B durability kit certified, including upgraded HPT blade; expected to deliver ~2x improvement in time on wing; full MRO and new-mate cutover expected early 2027.</w:t>
      </w:r>
      <w:r>
        <w:rPr>
          <w:rFonts w:ascii="Calibri" w:hAnsi="Calibri"/>
          <w:b/>
          <w:color w:val="525866"/>
          <w:sz w:val="22"/>
        </w:rPr>
        <w:t xml:space="preserve"> HWM read-through: </w:t>
      </w:r>
      <w:r>
        <w:rPr>
          <w:rFonts w:ascii="Calibri" w:hAnsi="Calibri"/>
          <w:color w:val="525866"/>
          <w:sz w:val="22"/>
        </w:rPr>
        <w:t>HPT blade upgrade cycle drives incremental demand for HWM's advanced turbine airfoils across both OE and MRO channels.</w:t>
      </w:r>
    </w:p>
    <w:p>
      <w:pPr>
        <w:pStyle w:val="ListBullet"/>
        <w:ind w:left="360" w:hanging="360"/>
      </w:pPr>
      <w:r>
        <w:rPr>
          <w:rFonts w:ascii="Calibri" w:hAnsi="Calibri"/>
          <w:color w:val="525866"/>
          <w:sz w:val="22"/>
        </w:rPr>
        <w:t>LEAP shop visits expected to grow at ~25% CAGR through 2030; external MRO channel growing from sub-10% to ~30% of services portfolio by 2030.</w:t>
      </w:r>
      <w:r>
        <w:rPr>
          <w:rFonts w:ascii="Calibri" w:hAnsi="Calibri"/>
          <w:b/>
          <w:color w:val="525866"/>
          <w:sz w:val="22"/>
        </w:rPr>
        <w:t xml:space="preserve"> HWM read-through: </w:t>
      </w:r>
      <w:r>
        <w:rPr>
          <w:rFonts w:ascii="Calibri" w:hAnsi="Calibri"/>
          <w:color w:val="525866"/>
          <w:sz w:val="22"/>
        </w:rPr>
        <w:t>Long-duration aftermarket growth runway for HWM's turbine airfoil spares business.</w:t>
      </w:r>
    </w:p>
    <w:p>
      <w:pPr>
        <w:pStyle w:val="ListBullet"/>
        <w:ind w:left="360" w:hanging="360"/>
      </w:pPr>
      <w:r>
        <w:rPr>
          <w:rFonts w:ascii="Calibri" w:hAnsi="Calibri"/>
          <w:color w:val="525866"/>
          <w:sz w:val="22"/>
        </w:rPr>
        <w:t>GE raised FY 2026 guidance: revenue to high-teens growth (from low double digits), EPS to $7.65–$7.85 (from $7.25–$7.45), FCF to $8.9–$9.2B (from $8.1–$8.5B).</w:t>
      </w:r>
      <w:r>
        <w:rPr>
          <w:rFonts w:ascii="Calibri" w:hAnsi="Calibri"/>
          <w:b/>
          <w:color w:val="525866"/>
          <w:sz w:val="22"/>
        </w:rPr>
        <w:t xml:space="preserve"> HWM read-through: </w:t>
      </w:r>
      <w:r>
        <w:rPr>
          <w:rFonts w:ascii="Calibri" w:hAnsi="Calibri"/>
          <w:color w:val="525866"/>
          <w:sz w:val="22"/>
        </w:rPr>
        <w:t>Raised guidance from HWM's largest engine customer is a strong positive signal for HWM's Q2 and H2 2026 outlook.</w:t>
      </w:r>
    </w:p>
    <w:p>
      <w:pPr>
        <w:pStyle w:val="Heading3"/>
      </w:pPr>
      <w:r>
        <w:rPr>
          <w:rFonts w:ascii="Calibri" w:hAnsi="Calibri"/>
          <w:b/>
          <w:color w:val="3B4259"/>
          <w:sz w:val="24"/>
        </w:rPr>
        <w:t>GE Vernova (GEV) — Q2 2026 Earnings (July 22, 2026)</w:t>
      </w:r>
    </w:p>
    <w:p>
      <w:r>
        <w:rPr>
          <w:rFonts w:ascii="Calibri" w:hAnsi="Calibri"/>
          <w:b/>
          <w:color w:val="525866"/>
          <w:sz w:val="22"/>
        </w:rPr>
        <w:t xml:space="preserve">Relevance to HWM: </w:t>
      </w:r>
      <w:r>
        <w:rPr>
          <w:rFonts w:ascii="Calibri" w:hAnsi="Calibri"/>
          <w:color w:val="525866"/>
          <w:sz w:val="22"/>
        </w:rPr>
        <w:t>GEV is a major customer for HWM's industrial gas turbine (IGT) turbine airfoils. HWM management has stated it holds &gt;50% global market share in turbine blades for gas turbines. GEV's production ramp is the primary driver of HWM's fastest-growing segment.</w:t>
      </w:r>
    </w:p>
    <w:p>
      <w:pPr>
        <w:pStyle w:val="ListBullet"/>
        <w:ind w:left="360" w:hanging="360"/>
      </w:pPr>
      <w:r>
        <w:rPr>
          <w:rFonts w:ascii="Calibri" w:hAnsi="Calibri"/>
          <w:color w:val="525866"/>
          <w:sz w:val="22"/>
        </w:rPr>
        <w:t>GEV shipped 29 gas turbines in Q2 (+38% YoY), including 16 aero derivatives; signed 20 GW of orders and slot reservation agreements; total contracted backlog grew from 100 GW to 116 GW sequentially.</w:t>
      </w:r>
      <w:r>
        <w:rPr>
          <w:rFonts w:ascii="Calibri" w:hAnsi="Calibri"/>
          <w:b/>
          <w:color w:val="525866"/>
          <w:sz w:val="22"/>
        </w:rPr>
        <w:t xml:space="preserve"> HWM read-through: </w:t>
      </w:r>
      <w:r>
        <w:rPr>
          <w:rFonts w:ascii="Calibri" w:hAnsi="Calibri"/>
          <w:color w:val="525866"/>
          <w:sz w:val="22"/>
        </w:rPr>
        <w:t>Accelerating gas turbine shipments directly drive demand for HWM's turbine airfoils; the 16% sequential backlog increase signals sustained multi-year demand.</w:t>
      </w:r>
    </w:p>
    <w:p>
      <w:pPr>
        <w:pStyle w:val="ListBullet"/>
        <w:ind w:left="360" w:hanging="360"/>
      </w:pPr>
      <w:r>
        <w:rPr>
          <w:rFonts w:ascii="Calibri" w:hAnsi="Calibri"/>
          <w:color w:val="525866"/>
          <w:sz w:val="22"/>
        </w:rPr>
        <w:t>GEV reached 20 GW annualized run rate in H2 2026; targeting 24 GW by 2028 and 30 GW by 2030 using lean/incremental machinery in existing factory footprint.</w:t>
      </w:r>
      <w:r>
        <w:rPr>
          <w:rFonts w:ascii="Calibri" w:hAnsi="Calibri"/>
          <w:b/>
          <w:color w:val="525866"/>
          <w:sz w:val="22"/>
        </w:rPr>
        <w:t xml:space="preserve"> HWM read-through: </w:t>
      </w:r>
      <w:r>
        <w:rPr>
          <w:rFonts w:ascii="Calibri" w:hAnsi="Calibri"/>
          <w:color w:val="525866"/>
          <w:sz w:val="22"/>
        </w:rPr>
        <w:t>The 50% production increase from 20 GW to 30 GW by 2030 implies a proportional increase in turbine airfoil demand from HWM over the next 4 years.</w:t>
      </w:r>
    </w:p>
    <w:p>
      <w:pPr>
        <w:pStyle w:val="ListBullet"/>
        <w:ind w:left="360" w:hanging="360"/>
      </w:pPr>
      <w:r>
        <w:rPr>
          <w:rFonts w:ascii="Calibri" w:hAnsi="Calibri"/>
          <w:color w:val="525866"/>
          <w:sz w:val="22"/>
        </w:rPr>
        <w:t>GEV noted "castings and forgings arriving in 2027" to support the ramp to 24 GW annualized output in 2028.</w:t>
      </w:r>
      <w:r>
        <w:rPr>
          <w:rFonts w:ascii="Calibri" w:hAnsi="Calibri"/>
          <w:b/>
          <w:color w:val="525866"/>
          <w:sz w:val="22"/>
        </w:rPr>
        <w:t xml:space="preserve"> HWM read-through: </w:t>
      </w:r>
      <w:r>
        <w:rPr>
          <w:rFonts w:ascii="Calibri" w:hAnsi="Calibri"/>
          <w:color w:val="525866"/>
          <w:sz w:val="22"/>
        </w:rPr>
        <w:t>Explicit confirmation that upstream component suppliers (including HWM) are actively engaged in supporting GEV's growth ramp.</w:t>
      </w:r>
    </w:p>
    <w:p>
      <w:pPr>
        <w:pStyle w:val="ListBullet"/>
        <w:ind w:left="360" w:hanging="360"/>
      </w:pPr>
      <w:r>
        <w:rPr>
          <w:rFonts w:ascii="Calibri" w:hAnsi="Calibri"/>
          <w:color w:val="525866"/>
          <w:sz w:val="22"/>
        </w:rPr>
        <w:t>~20% of gas turbine demand is from data centers; demand is global across ~100 customers in 26 countries; aero derivatives complementary to heavy-duty units (6-month commissioning vs. 18 months for heavy-duty).</w:t>
      </w:r>
      <w:r>
        <w:rPr>
          <w:rFonts w:ascii="Calibri" w:hAnsi="Calibri"/>
          <w:b/>
          <w:color w:val="525866"/>
          <w:sz w:val="22"/>
        </w:rPr>
        <w:t xml:space="preserve"> HWM read-through: </w:t>
      </w:r>
      <w:r>
        <w:rPr>
          <w:rFonts w:ascii="Calibri" w:hAnsi="Calibri"/>
          <w:color w:val="525866"/>
          <w:sz w:val="22"/>
        </w:rPr>
        <w:t>Demand breadth across data centers, industrial, and international customers reduces concentration risk and validates HWM's IGT growth thesis.</w:t>
      </w:r>
    </w:p>
    <w:p>
      <w:pPr>
        <w:pStyle w:val="ListBullet"/>
        <w:ind w:left="360" w:hanging="360"/>
      </w:pPr>
      <w:r>
        <w:rPr>
          <w:rFonts w:ascii="Calibri" w:hAnsi="Calibri"/>
          <w:color w:val="525866"/>
          <w:sz w:val="22"/>
        </w:rPr>
        <w:t>Equipment orders in H1 2026 priced &gt;20% above Q4 2025 levels; services pricing up double digits annually.</w:t>
      </w:r>
      <w:r>
        <w:rPr>
          <w:rFonts w:ascii="Calibri" w:hAnsi="Calibri"/>
          <w:b/>
          <w:color w:val="525866"/>
          <w:sz w:val="22"/>
        </w:rPr>
        <w:t xml:space="preserve"> HWM read-through: </w:t>
      </w:r>
      <w:r>
        <w:rPr>
          <w:rFonts w:ascii="Calibri" w:hAnsi="Calibri"/>
          <w:color w:val="525866"/>
          <w:sz w:val="22"/>
        </w:rPr>
        <w:t>Strong pricing environment at GEV supports HWM's ability to maintain or improve its own pricing on IGT components.</w:t>
      </w:r>
    </w:p>
    <w:p>
      <w:pPr>
        <w:pStyle w:val="ListBullet"/>
        <w:ind w:left="360" w:hanging="360"/>
      </w:pPr>
      <w:r>
        <w:rPr>
          <w:rFonts w:ascii="Calibri" w:hAnsi="Calibri"/>
          <w:color w:val="525866"/>
          <w:sz w:val="22"/>
        </w:rPr>
        <w:t>GEV raised FY 2026 FCF guidance to $11.5–$12.5B (from $6.5–$7.5B); revenue guidance raised to $45.5–$46.5B.</w:t>
      </w:r>
      <w:r>
        <w:rPr>
          <w:rFonts w:ascii="Calibri" w:hAnsi="Calibri"/>
          <w:b/>
          <w:color w:val="525866"/>
          <w:sz w:val="22"/>
        </w:rPr>
        <w:t xml:space="preserve"> HWM read-through: </w:t>
      </w:r>
      <w:r>
        <w:rPr>
          <w:rFonts w:ascii="Calibri" w:hAnsi="Calibri"/>
          <w:color w:val="525866"/>
          <w:sz w:val="22"/>
        </w:rPr>
        <w:t>Dramatic FCF guidance raise signals GEV's financial health and ability to fund continued production ramp — positive for HWM's IGT revenue visibility.</w:t>
      </w:r>
    </w:p>
    <w:p>
      <w:pPr>
        <w:pStyle w:val="Heading3"/>
      </w:pPr>
      <w:r>
        <w:rPr>
          <w:rFonts w:ascii="Calibri" w:hAnsi="Calibri"/>
          <w:b/>
          <w:color w:val="3B4259"/>
          <w:sz w:val="24"/>
        </w:rPr>
        <w:t>RTX Corporation (RTX) — Q2 2026 Earnings (July 23, 2026)</w:t>
      </w:r>
    </w:p>
    <w:p>
      <w:r>
        <w:rPr>
          <w:rFonts w:ascii="Calibri" w:hAnsi="Calibri"/>
          <w:b/>
          <w:color w:val="525866"/>
          <w:sz w:val="22"/>
        </w:rPr>
        <w:t xml:space="preserve">Relevance to HWM: </w:t>
      </w:r>
      <w:r>
        <w:rPr>
          <w:rFonts w:ascii="Calibri" w:hAnsi="Calibri"/>
          <w:color w:val="525866"/>
          <w:sz w:val="22"/>
        </w:rPr>
        <w:t>RTX (Pratt &amp; Whitney + Collins Aerospace) is a key customer for HWM's turbine airfoils (GTF engine) and fastening systems. Pratt's GTF MRO ramp and Collins' OE production growth are direct demand drivers for HWM.</w:t>
      </w:r>
    </w:p>
    <w:p>
      <w:pPr>
        <w:pStyle w:val="ListBullet"/>
        <w:ind w:left="360" w:hanging="360"/>
      </w:pPr>
      <w:r>
        <w:rPr>
          <w:rFonts w:ascii="Calibri" w:hAnsi="Calibri"/>
          <w:color w:val="525866"/>
          <w:sz w:val="22"/>
        </w:rPr>
        <w:t>RTX reported 16% organic sales growth in Q2; record backlog of $289B (+22% YoY, +6% sequentially); book-to-bill of 2.4x.</w:t>
      </w:r>
      <w:r>
        <w:rPr>
          <w:rFonts w:ascii="Calibri" w:hAnsi="Calibri"/>
          <w:b/>
          <w:color w:val="525866"/>
          <w:sz w:val="22"/>
        </w:rPr>
        <w:t xml:space="preserve"> HWM read-through: </w:t>
      </w:r>
      <w:r>
        <w:rPr>
          <w:rFonts w:ascii="Calibri" w:hAnsi="Calibri"/>
          <w:color w:val="525866"/>
          <w:sz w:val="22"/>
        </w:rPr>
        <w:t>Record backlog and 2.4x book-to-bill signal sustained high production volumes for aerospace components for multiple years.</w:t>
      </w:r>
    </w:p>
    <w:p>
      <w:pPr>
        <w:pStyle w:val="ListBullet"/>
        <w:ind w:left="360" w:hanging="360"/>
      </w:pPr>
      <w:r>
        <w:rPr>
          <w:rFonts w:ascii="Calibri" w:hAnsi="Calibri"/>
          <w:color w:val="525866"/>
          <w:sz w:val="22"/>
        </w:rPr>
        <w:t>Collins commercial OE sales up 26% in Q2, driven by higher narrowbody and widebody volumes; Pratt large commercial engine deliveries up 15%; RTX expects to deliver a "record number of GTF engines this year."</w:t>
      </w:r>
      <w:r>
        <w:rPr>
          <w:rFonts w:ascii="Calibri" w:hAnsi="Calibri"/>
          <w:b/>
          <w:color w:val="525866"/>
          <w:sz w:val="22"/>
        </w:rPr>
        <w:t xml:space="preserve"> HWM read-through: </w:t>
      </w:r>
      <w:r>
        <w:rPr>
          <w:rFonts w:ascii="Calibri" w:hAnsi="Calibri"/>
          <w:color w:val="525866"/>
          <w:sz w:val="22"/>
        </w:rPr>
        <w:t>Record GTF deliveries require record turbine airfoil supply from HWM; Collins OE growth drives fastening systems demand.</w:t>
      </w:r>
    </w:p>
    <w:p>
      <w:pPr>
        <w:pStyle w:val="ListBullet"/>
        <w:ind w:left="360" w:hanging="360"/>
      </w:pPr>
      <w:r>
        <w:rPr>
          <w:rFonts w:ascii="Calibri" w:hAnsi="Calibri"/>
          <w:color w:val="525866"/>
          <w:sz w:val="22"/>
        </w:rPr>
        <w:t>Pratt commercial aftermarket up 25% in Q2, driven by higher MRO volume; GTF MRO output up 40%+ YoY; Pratt investing &gt;$100M to expand GTF MRO capacity across Texas, Florida, and Arkansas.</w:t>
      </w:r>
      <w:r>
        <w:rPr>
          <w:rFonts w:ascii="Calibri" w:hAnsi="Calibri"/>
          <w:b/>
          <w:color w:val="525866"/>
          <w:sz w:val="22"/>
        </w:rPr>
        <w:t xml:space="preserve"> HWM read-through: </w:t>
      </w:r>
      <w:r>
        <w:rPr>
          <w:rFonts w:ascii="Calibri" w:hAnsi="Calibri"/>
          <w:color w:val="525866"/>
          <w:sz w:val="22"/>
        </w:rPr>
        <w:t>GTF MRO ramp drives demand for HWM's turbine airfoil spares; validates HWM's Q1 commentary that engine spares were up 48% YoY.</w:t>
      </w:r>
    </w:p>
    <w:p>
      <w:pPr>
        <w:pStyle w:val="ListBullet"/>
        <w:ind w:left="360" w:hanging="360"/>
      </w:pPr>
      <w:r>
        <w:rPr>
          <w:rFonts w:ascii="Calibri" w:hAnsi="Calibri"/>
          <w:color w:val="525866"/>
          <w:sz w:val="22"/>
        </w:rPr>
        <w:t>GTF Advantage Engine received aircraft certification; deliveries to Airbus commenced; entry into service expected later in 2026; full production cutover in 2028.</w:t>
      </w:r>
      <w:r>
        <w:rPr>
          <w:rFonts w:ascii="Calibri" w:hAnsi="Calibri"/>
          <w:b/>
          <w:color w:val="525866"/>
          <w:sz w:val="22"/>
        </w:rPr>
        <w:t xml:space="preserve"> HWM read-through: </w:t>
      </w:r>
      <w:r>
        <w:rPr>
          <w:rFonts w:ascii="Calibri" w:hAnsi="Calibri"/>
          <w:color w:val="525866"/>
          <w:sz w:val="22"/>
        </w:rPr>
        <w:t>GTF Advantage uses advanced turbine blade technologies (HWM management noted "hundreds of degrees of improvement"); ramp through 2026–2027 is a key growth driver for HWM's Engine Products segment.</w:t>
      </w:r>
    </w:p>
    <w:p>
      <w:pPr>
        <w:pStyle w:val="ListBullet"/>
        <w:ind w:left="360" w:hanging="360"/>
      </w:pPr>
      <w:r>
        <w:rPr>
          <w:rFonts w:ascii="Calibri" w:hAnsi="Calibri"/>
          <w:color w:val="525866"/>
          <w:sz w:val="22"/>
        </w:rPr>
        <w:t>Raytheon booked ~$20B of awards in Q2 (book-to-bill 2.4x); &gt;$5B of Patriot effectors from international customers; bipartisan support for ~25% increase in 2027 defense spending.</w:t>
      </w:r>
      <w:r>
        <w:rPr>
          <w:rFonts w:ascii="Calibri" w:hAnsi="Calibri"/>
          <w:b/>
          <w:color w:val="525866"/>
          <w:sz w:val="22"/>
        </w:rPr>
        <w:t xml:space="preserve"> HWM read-through: </w:t>
      </w:r>
      <w:r>
        <w:rPr>
          <w:rFonts w:ascii="Calibri" w:hAnsi="Calibri"/>
          <w:color w:val="525866"/>
          <w:sz w:val="22"/>
        </w:rPr>
        <w:t>Strong defense bookings validate HWM's defense aerospace growth thesis (PAC-3, Patriot, THAAD content); 2027 defense budget increase supports HWM's CCA/missile revenue ramp.</w:t>
      </w:r>
    </w:p>
    <w:p>
      <w:pPr>
        <w:pStyle w:val="ListBullet"/>
        <w:ind w:left="360" w:hanging="360"/>
      </w:pPr>
      <w:r>
        <w:rPr>
          <w:rFonts w:ascii="Calibri" w:hAnsi="Calibri"/>
          <w:color w:val="525866"/>
          <w:sz w:val="22"/>
        </w:rPr>
        <w:t>RTX raised FY 2026 guidance: adjusted sales to $95–$96B (from $92.5–$93.5B), EPS to $7.10–$7.25 (from $6.70–$6.90), FCF to $8.5–$8.75B.</w:t>
      </w:r>
      <w:r>
        <w:rPr>
          <w:rFonts w:ascii="Calibri" w:hAnsi="Calibri"/>
          <w:b/>
          <w:color w:val="525866"/>
          <w:sz w:val="22"/>
        </w:rPr>
        <w:t xml:space="preserve"> HWM read-through: </w:t>
      </w:r>
      <w:r>
        <w:rPr>
          <w:rFonts w:ascii="Calibri" w:hAnsi="Calibri"/>
          <w:color w:val="525866"/>
          <w:sz w:val="22"/>
        </w:rPr>
        <w:t>Broad-based guidance raise from HWM's largest engine customer group is the strongest positive read-through for HWM's Q2 and H2 2026 outlook.</w:t>
      </w:r>
    </w:p>
    <w:p>
      <w:pPr>
        <w:pStyle w:val="Heading3"/>
      </w:pPr>
      <w:r>
        <w:rPr>
          <w:rFonts w:ascii="Calibri" w:hAnsi="Calibri"/>
          <w:b/>
          <w:color w:val="3B4259"/>
          <w:sz w:val="24"/>
        </w:rPr>
        <w:t>TransDigm Group (TDG) — Q3 FY2026 Earnings (August 4, 2026)</w:t>
      </w:r>
    </w:p>
    <w:p>
      <w:r>
        <w:rPr>
          <w:rFonts w:ascii="Calibri" w:hAnsi="Calibri"/>
          <w:b/>
          <w:color w:val="525866"/>
          <w:sz w:val="22"/>
        </w:rPr>
        <w:t xml:space="preserve">Relevance to HWM: </w:t>
      </w:r>
      <w:r>
        <w:rPr>
          <w:rFonts w:ascii="Calibri" w:hAnsi="Calibri"/>
          <w:color w:val="525866"/>
          <w:sz w:val="22"/>
        </w:rPr>
        <w:t>TransDigm is a broad aerospace components manufacturer with significant commercial OEM, commercial aftermarket, and defense exposure. TDG's commentary on market channel growth rates, Boeing/Airbus production, and defense bookings provides a real-time read on the aerospace supply chain heading into HWM's print.</w:t>
      </w:r>
    </w:p>
    <w:p>
      <w:pPr>
        <w:pStyle w:val="ListBullet"/>
        <w:ind w:left="360" w:hanging="360"/>
      </w:pPr>
      <w:r>
        <w:rPr>
          <w:rFonts w:ascii="Calibri" w:hAnsi="Calibri"/>
          <w:color w:val="525866"/>
          <w:sz w:val="22"/>
        </w:rPr>
        <w:t>TDG delivered Q3 organic growth of ~13%; raised FY 2026 guidance with sales midpoint now $10.51B (+19% YoY) and EBITDA As Defined midpoint $5.52B (+16% YoY, ~52.5% margin).</w:t>
      </w:r>
      <w:r>
        <w:rPr>
          <w:rFonts w:ascii="Calibri" w:hAnsi="Calibri"/>
          <w:b/>
          <w:color w:val="525866"/>
          <w:sz w:val="22"/>
        </w:rPr>
        <w:t xml:space="preserve"> HWM read-through: </w:t>
      </w:r>
      <w:r>
        <w:rPr>
          <w:rFonts w:ascii="Calibri" w:hAnsi="Calibri"/>
          <w:color w:val="525866"/>
          <w:sz w:val="22"/>
        </w:rPr>
        <w:t>Broad-based aerospace component demand growth of 13% organically in the most recent quarter (ending June 30, 2026 — same quarter as HWM's Q2) is a direct positive read-through.</w:t>
      </w:r>
    </w:p>
    <w:p>
      <w:pPr>
        <w:pStyle w:val="ListBullet"/>
        <w:ind w:left="360" w:hanging="360"/>
      </w:pPr>
      <w:r>
        <w:rPr>
          <w:rFonts w:ascii="Calibri" w:hAnsi="Calibri"/>
          <w:color w:val="525866"/>
          <w:sz w:val="22"/>
        </w:rPr>
        <w:t>Commercial OEM revenue up ~17% in Q3 (commercial transport OEM ex-bizjet up 25%), driven by "production improvements at Boeing and Airbus." Book-to-bill solidly positive; commercial transport bookings up double digits for the third consecutive quarter.</w:t>
      </w:r>
      <w:r>
        <w:rPr>
          <w:rFonts w:ascii="Calibri" w:hAnsi="Calibri"/>
          <w:b/>
          <w:color w:val="525866"/>
          <w:sz w:val="22"/>
        </w:rPr>
        <w:t xml:space="preserve"> HWM read-through: </w:t>
      </w:r>
      <w:r>
        <w:rPr>
          <w:rFonts w:ascii="Calibri" w:hAnsi="Calibri"/>
          <w:color w:val="525866"/>
          <w:sz w:val="22"/>
        </w:rPr>
        <w:t>Consistent with Boeing's Q2 commentary on 737 ramp to 47/month; validates HWM's commercial aerospace growth assumption of ~20% for FY 2026.</w:t>
      </w:r>
    </w:p>
    <w:p>
      <w:pPr>
        <w:pStyle w:val="ListBullet"/>
        <w:ind w:left="360" w:hanging="360"/>
      </w:pPr>
      <w:r>
        <w:rPr>
          <w:rFonts w:ascii="Calibri" w:hAnsi="Calibri"/>
          <w:color w:val="525866"/>
          <w:sz w:val="22"/>
        </w:rPr>
        <w:t>Commercial aftermarket up ~17% in Q3 (commercial transport component up 18%); Q3 bookings "delivered ahead of expectations for the third quarter in a row"; POS at distributors up double digits.</w:t>
      </w:r>
      <w:r>
        <w:rPr>
          <w:rFonts w:ascii="Calibri" w:hAnsi="Calibri"/>
          <w:b/>
          <w:color w:val="525866"/>
          <w:sz w:val="22"/>
        </w:rPr>
        <w:t xml:space="preserve"> HWM read-through: </w:t>
      </w:r>
      <w:r>
        <w:rPr>
          <w:rFonts w:ascii="Calibri" w:hAnsi="Calibri"/>
          <w:color w:val="525866"/>
          <w:sz w:val="22"/>
        </w:rPr>
        <w:t>Strong aftermarket growth validates HWM's engine spares thesis; no material impact from Middle East conflict on aftermarket demand despite RPK headwinds.</w:t>
      </w:r>
    </w:p>
    <w:p>
      <w:pPr>
        <w:pStyle w:val="ListBullet"/>
        <w:ind w:left="360" w:hanging="360"/>
      </w:pPr>
      <w:r>
        <w:rPr>
          <w:rFonts w:ascii="Calibri" w:hAnsi="Calibri"/>
          <w:color w:val="525866"/>
          <w:sz w:val="22"/>
        </w:rPr>
        <w:t>Defense revenue up ~11% in Q3; defense bookings up YoY and sequentially, outpacing sales; guidance of high-single to low-double digit defense growth for FY 2026.</w:t>
      </w:r>
      <w:r>
        <w:rPr>
          <w:rFonts w:ascii="Calibri" w:hAnsi="Calibri"/>
          <w:b/>
          <w:color w:val="525866"/>
          <w:sz w:val="22"/>
        </w:rPr>
        <w:t xml:space="preserve"> HWM read-through: </w:t>
      </w:r>
      <w:r>
        <w:rPr>
          <w:rFonts w:ascii="Calibri" w:hAnsi="Calibri"/>
          <w:color w:val="525866"/>
          <w:sz w:val="22"/>
        </w:rPr>
        <w:t>Consistent with HWM's defense growth assumption of ~10% for FY 2026; positive for HWM's defense fastening systems and engine products.</w:t>
      </w:r>
    </w:p>
    <w:p>
      <w:pPr>
        <w:pStyle w:val="ListBullet"/>
        <w:ind w:left="360" w:hanging="360"/>
      </w:pPr>
      <w:r>
        <w:rPr>
          <w:rFonts w:ascii="Calibri" w:hAnsi="Calibri"/>
          <w:color w:val="525866"/>
          <w:sz w:val="22"/>
        </w:rPr>
        <w:t>Supply chain "reasonably solid" with suppliers "performing well enough to keep us in a good position." No material supply chain disruptions flagged.</w:t>
      </w:r>
      <w:r>
        <w:rPr>
          <w:rFonts w:ascii="Calibri" w:hAnsi="Calibri"/>
          <w:b/>
          <w:color w:val="525866"/>
          <w:sz w:val="22"/>
        </w:rPr>
        <w:t xml:space="preserve"> HWM read-through: </w:t>
      </w:r>
      <w:r>
        <w:rPr>
          <w:rFonts w:ascii="Calibri" w:hAnsi="Calibri"/>
          <w:color w:val="525866"/>
          <w:sz w:val="22"/>
        </w:rPr>
        <w:t>Stable supply chain environment reduces risk of production disruptions at HWM's customers.</w:t>
      </w:r>
    </w:p>
    <w:p>
      <w:pPr>
        <w:pStyle w:val="ListBullet"/>
        <w:ind w:left="360" w:hanging="360"/>
      </w:pPr>
      <w:r>
        <w:rPr>
          <w:rFonts w:ascii="Calibri" w:hAnsi="Calibri"/>
          <w:color w:val="525866"/>
          <w:sz w:val="22"/>
        </w:rPr>
        <w:t>TDG announced acquisition of Prince &amp; Izant (brazing alloys and specialty components for aerospace/defense/aeroderivative turbines) for ~$1.1B; expected to generate ~$360M revenue in 2026.</w:t>
      </w:r>
      <w:r>
        <w:rPr>
          <w:rFonts w:ascii="Calibri" w:hAnsi="Calibri"/>
          <w:b/>
          <w:color w:val="525866"/>
          <w:sz w:val="22"/>
        </w:rPr>
        <w:t xml:space="preserve"> HWM read-through: </w:t>
      </w:r>
      <w:r>
        <w:rPr>
          <w:rFonts w:ascii="Calibri" w:hAnsi="Calibri"/>
          <w:color w:val="525866"/>
          <w:sz w:val="22"/>
        </w:rPr>
        <w:t>TDG's continued M&amp;A in aerospace components validates the sector's attractive fundamentals; Prince &amp; Izant's aeroderivative turbine exposure is adjacent to HWM's IGT business.</w:t>
      </w:r>
    </w:p>
    <w:p>
      <w:pPr>
        <w:pStyle w:val="Heading3"/>
      </w:pPr>
      <w:r>
        <w:rPr>
          <w:rFonts w:ascii="Calibri" w:hAnsi="Calibri"/>
          <w:b/>
          <w:color w:val="3B4259"/>
          <w:sz w:val="24"/>
        </w:rPr>
        <w:t>Boeing (BA) — Q2 2026 Earnings (July 28, 2026)</w:t>
      </w:r>
    </w:p>
    <w:p>
      <w:r>
        <w:rPr>
          <w:rFonts w:ascii="Calibri" w:hAnsi="Calibri"/>
          <w:b/>
          <w:color w:val="525866"/>
          <w:sz w:val="22"/>
        </w:rPr>
        <w:t xml:space="preserve">Relevance to HWM: </w:t>
      </w:r>
      <w:r>
        <w:rPr>
          <w:rFonts w:ascii="Calibri" w:hAnsi="Calibri"/>
          <w:color w:val="525866"/>
          <w:sz w:val="22"/>
        </w:rPr>
        <w:t>Boeing is HWM's largest commercial aerospace OEM customer. Boeing's 737 and 787 production rates directly drive demand for HWM's fastening systems, engine products, and engineered structures.</w:t>
      </w:r>
    </w:p>
    <w:p>
      <w:pPr>
        <w:pStyle w:val="ListBullet"/>
        <w:ind w:left="360" w:hanging="360"/>
      </w:pPr>
      <w:r>
        <w:rPr>
          <w:rFonts w:ascii="Calibri" w:hAnsi="Calibri"/>
          <w:color w:val="525866"/>
          <w:sz w:val="22"/>
        </w:rPr>
        <w:t>737 production ramping to 47/month after successful capstone review in May; factory rollouts expected to reach 47/month "this summer"; next planned rate break at 52/month enabled by North line low-rate MAX production.</w:t>
      </w:r>
      <w:r>
        <w:rPr>
          <w:rFonts w:ascii="Calibri" w:hAnsi="Calibri"/>
          <w:b/>
          <w:color w:val="525866"/>
          <w:sz w:val="22"/>
        </w:rPr>
        <w:t xml:space="preserve"> HWM read-through: </w:t>
      </w:r>
      <w:r>
        <w:rPr>
          <w:rFonts w:ascii="Calibri" w:hAnsi="Calibri"/>
          <w:color w:val="525866"/>
          <w:sz w:val="22"/>
        </w:rPr>
        <w:t>Boeing's 737 rate of 47/month is above HWM's embedded guidance assumption of 42/month average for FY 2026 — represents unmodeled upside to HWM's fastening systems and engine products revenue.</w:t>
      </w:r>
    </w:p>
    <w:p>
      <w:pPr>
        <w:pStyle w:val="ListBullet"/>
        <w:ind w:left="360" w:hanging="360"/>
      </w:pPr>
      <w:r>
        <w:rPr>
          <w:rFonts w:ascii="Calibri" w:hAnsi="Calibri"/>
          <w:color w:val="525866"/>
          <w:sz w:val="22"/>
        </w:rPr>
        <w:t>787 stabilized at 8/month; delivered 25 aircraft in Q2 (including 13 in June); on track to deliver 90–100 aircraft in 2026.</w:t>
      </w:r>
      <w:r>
        <w:rPr>
          <w:rFonts w:ascii="Calibri" w:hAnsi="Calibri"/>
          <w:b/>
          <w:color w:val="525866"/>
          <w:sz w:val="22"/>
        </w:rPr>
        <w:t xml:space="preserve"> HWM read-through: </w:t>
      </w:r>
      <w:r>
        <w:rPr>
          <w:rFonts w:ascii="Calibri" w:hAnsi="Calibri"/>
          <w:color w:val="525866"/>
          <w:sz w:val="22"/>
        </w:rPr>
        <w:t>787 at 8/month is at the high end of HWM's guidance assumption (7/month rising to 8/month by Q4); no negative surprise on widebody.</w:t>
      </w:r>
    </w:p>
    <w:p>
      <w:pPr>
        <w:pStyle w:val="ListBullet"/>
        <w:ind w:left="360" w:hanging="360"/>
      </w:pPr>
      <w:r>
        <w:rPr>
          <w:rFonts w:ascii="Calibri" w:hAnsi="Calibri"/>
          <w:color w:val="525866"/>
          <w:sz w:val="22"/>
        </w:rPr>
        <w:t>Boeing's overall backlog at a record $715B; commercial market backlog &gt;6,200 aircraft; 20-year market outlook of ~44,000 new aircraft.</w:t>
      </w:r>
      <w:r>
        <w:rPr>
          <w:rFonts w:ascii="Calibri" w:hAnsi="Calibri"/>
          <w:b/>
          <w:color w:val="525866"/>
          <w:sz w:val="22"/>
        </w:rPr>
        <w:t xml:space="preserve"> HWM read-through: </w:t>
      </w:r>
      <w:r>
        <w:rPr>
          <w:rFonts w:ascii="Calibri" w:hAnsi="Calibri"/>
          <w:color w:val="525866"/>
          <w:sz w:val="22"/>
        </w:rPr>
        <w:t>Record backlog provides multi-year demand visibility for HWM's commercial aerospace components.</w:t>
      </w:r>
    </w:p>
    <w:p>
      <w:pPr>
        <w:pStyle w:val="ListBullet"/>
        <w:ind w:left="360" w:hanging="360"/>
      </w:pPr>
      <w:r>
        <w:rPr>
          <w:rFonts w:ascii="Calibri" w:hAnsi="Calibri"/>
          <w:color w:val="525866"/>
          <w:sz w:val="22"/>
        </w:rPr>
        <w:t>Boeing BDS (defense) revenue up 13% to $7.5B; backlog strong at $85B; KC-46 now "very low risk." Defense demand signal "very strong" with notable increases in missiles and munitions.</w:t>
      </w:r>
      <w:r>
        <w:rPr>
          <w:rFonts w:ascii="Calibri" w:hAnsi="Calibri"/>
          <w:b/>
          <w:color w:val="525866"/>
          <w:sz w:val="22"/>
        </w:rPr>
        <w:t xml:space="preserve"> HWM read-through: </w:t>
      </w:r>
      <w:r>
        <w:rPr>
          <w:rFonts w:ascii="Calibri" w:hAnsi="Calibri"/>
          <w:color w:val="525866"/>
          <w:sz w:val="22"/>
        </w:rPr>
        <w:t>Strong defense demand validates HWM's defense aerospace growth thesis.</w:t>
      </w:r>
    </w:p>
    <w:p>
      <w:pPr>
        <w:pStyle w:val="ListBullet"/>
        <w:ind w:left="360" w:hanging="360"/>
      </w:pPr>
      <w:r>
        <w:rPr>
          <w:rFonts w:ascii="Calibri" w:hAnsi="Calibri"/>
          <w:color w:val="525866"/>
          <w:sz w:val="22"/>
        </w:rPr>
        <w:t>Boeing pledged $1B investment in Wichita (Spirit AeroSystems integration) to support 737 and 787 rate ramps; views $10B FCF as "very attainable" with significant growth beyond that into the next decade.</w:t>
      </w:r>
      <w:r>
        <w:rPr>
          <w:rFonts w:ascii="Calibri" w:hAnsi="Calibri"/>
          <w:b/>
          <w:color w:val="525866"/>
          <w:sz w:val="22"/>
        </w:rPr>
        <w:t xml:space="preserve"> HWM read-through: </w:t>
      </w:r>
      <w:r>
        <w:rPr>
          <w:rFonts w:ascii="Calibri" w:hAnsi="Calibri"/>
          <w:color w:val="525866"/>
          <w:sz w:val="22"/>
        </w:rPr>
        <w:t>Boeing's financial recovery and production investment commitment provides long-term demand stability for HWM.</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The only notable transaction is a single open-market sale by EVP/CAO Neil Marchuk (41,932 shares, ~$11.4M) on May 11 — shortly after the Q1 earnings beat — which is worth monitoring but not alarming given it appears to be a discretionary sale at a post-earnings high. All other transactions are routine director equity award grants (code A).</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Neil Edward Marchuk</w:t>
            </w:r>
          </w:p>
        </w:tc>
        <w:tc>
          <w:tcPr>
            <w:tcW w:type="dxa" w:w="1234"/>
          </w:tcPr>
          <w:p>
            <w:r>
              <w:rPr>
                <w:rFonts w:ascii="Calibri" w:hAnsi="Calibri"/>
                <w:sz w:val="22"/>
              </w:rPr>
              <w:t>EVP, CAO</w:t>
            </w:r>
          </w:p>
        </w:tc>
        <w:tc>
          <w:tcPr>
            <w:tcW w:type="dxa" w:w="1234"/>
          </w:tcPr>
          <w:p>
            <w:r>
              <w:rPr>
                <w:rFonts w:ascii="Calibri" w:hAnsi="Calibri"/>
                <w:b/>
                <w:color w:val="E5484D"/>
                <w:sz w:val="22"/>
              </w:rPr>
              <w:t>Open Market Sale</w:t>
            </w:r>
          </w:p>
        </w:tc>
        <w:tc>
          <w:tcPr>
            <w:tcW w:type="dxa" w:w="1234"/>
          </w:tcPr>
          <w:p>
            <w:r>
              <w:rPr>
                <w:rFonts w:ascii="Calibri" w:hAnsi="Calibri"/>
                <w:sz w:val="22"/>
              </w:rPr>
              <w:t>41,932</w:t>
            </w:r>
          </w:p>
        </w:tc>
        <w:tc>
          <w:tcPr>
            <w:tcW w:type="dxa" w:w="1234"/>
          </w:tcPr>
          <w:p>
            <w:r>
              <w:rPr>
                <w:rFonts w:ascii="Calibri" w:hAnsi="Calibri"/>
                <w:sz w:val="22"/>
              </w:rPr>
              <w:t>~$11.4M (est. at ~$272/share)</w:t>
            </w:r>
          </w:p>
        </w:tc>
        <w:tc>
          <w:tcPr>
            <w:tcW w:type="dxa" w:w="1234"/>
          </w:tcPr>
          <w:p>
            <w:r>
              <w:rPr>
                <w:rFonts w:ascii="Calibri" w:hAnsi="Calibri"/>
                <w:sz w:val="22"/>
              </w:rPr>
              <w:t>May 11, 2026</w:t>
            </w:r>
          </w:p>
        </w:tc>
        <w:tc>
          <w:tcPr>
            <w:tcW w:type="dxa" w:w="1234"/>
          </w:tcPr>
          <w:p>
            <w:r>
              <w:rPr>
                <w:rFonts w:ascii="Calibri" w:hAnsi="Calibri"/>
                <w:sz w:val="22"/>
              </w:rPr>
              <w:t>Discretionary sale; 4 days post Q1 earnings beat; no 10b5-1 plan indicated. Shares owned post-sale: 65,105.</w:t>
            </w:r>
          </w:p>
        </w:tc>
      </w:tr>
      <w:tr>
        <w:tc>
          <w:tcPr>
            <w:tcW w:type="dxa" w:w="1234"/>
          </w:tcPr>
          <w:p>
            <w:r>
              <w:rPr>
                <w:rFonts w:ascii="Calibri" w:hAnsi="Calibri"/>
                <w:sz w:val="22"/>
              </w:rPr>
              <w:t>James F. Albaugh</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 not an open-market transaction.</w:t>
            </w:r>
          </w:p>
        </w:tc>
      </w:tr>
      <w:tr>
        <w:tc>
          <w:tcPr>
            <w:tcW w:type="dxa" w:w="1234"/>
          </w:tcPr>
          <w:p>
            <w:r>
              <w:rPr>
                <w:rFonts w:ascii="Calibri" w:hAnsi="Calibri"/>
                <w:sz w:val="22"/>
              </w:rPr>
              <w:t>Amy E. Alving</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r>
        <w:tc>
          <w:tcPr>
            <w:tcW w:type="dxa" w:w="1234"/>
          </w:tcPr>
          <w:p>
            <w:r>
              <w:rPr>
                <w:rFonts w:ascii="Calibri" w:hAnsi="Calibri"/>
                <w:sz w:val="22"/>
              </w:rPr>
              <w:t>Sharon R. Barner</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r>
        <w:tc>
          <w:tcPr>
            <w:tcW w:type="dxa" w:w="1234"/>
          </w:tcPr>
          <w:p>
            <w:r>
              <w:rPr>
                <w:rFonts w:ascii="Calibri" w:hAnsi="Calibri"/>
                <w:sz w:val="22"/>
              </w:rPr>
              <w:t>Joseph S. Cantie</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 (May 21) + 134 (Jul 2)</w:t>
            </w:r>
          </w:p>
        </w:tc>
        <w:tc>
          <w:tcPr>
            <w:tcW w:type="dxa" w:w="1234"/>
          </w:tcPr>
          <w:p>
            <w:r>
              <w:rPr>
                <w:rFonts w:ascii="Calibri" w:hAnsi="Calibri"/>
                <w:sz w:val="22"/>
              </w:rPr>
              <w:t>N/A (non-cash grants)</w:t>
            </w:r>
          </w:p>
        </w:tc>
        <w:tc>
          <w:tcPr>
            <w:tcW w:type="dxa" w:w="1234"/>
          </w:tcPr>
          <w:p>
            <w:r>
              <w:rPr>
                <w:rFonts w:ascii="Calibri" w:hAnsi="Calibri"/>
                <w:sz w:val="22"/>
              </w:rPr>
              <w:t>May 21 &amp; Jul 2, 2026</w:t>
            </w:r>
          </w:p>
        </w:tc>
        <w:tc>
          <w:tcPr>
            <w:tcW w:type="dxa" w:w="1234"/>
          </w:tcPr>
          <w:p>
            <w:r>
              <w:rPr>
                <w:rFonts w:ascii="Calibri" w:hAnsi="Calibri"/>
                <w:sz w:val="22"/>
              </w:rPr>
              <w:t>Routine director equity awards.</w:t>
            </w:r>
          </w:p>
        </w:tc>
      </w:tr>
      <w:tr>
        <w:tc>
          <w:tcPr>
            <w:tcW w:type="dxa" w:w="1234"/>
          </w:tcPr>
          <w:p>
            <w:r>
              <w:rPr>
                <w:rFonts w:ascii="Calibri" w:hAnsi="Calibri"/>
                <w:sz w:val="22"/>
              </w:rPr>
              <w:t>Robert F. LeDuc</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r>
        <w:tc>
          <w:tcPr>
            <w:tcW w:type="dxa" w:w="1234"/>
          </w:tcPr>
          <w:p>
            <w:r>
              <w:rPr>
                <w:rFonts w:ascii="Calibri" w:hAnsi="Calibri"/>
                <w:sz w:val="22"/>
              </w:rPr>
              <w:t>Jody Miller</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r>
        <w:tc>
          <w:tcPr>
            <w:tcW w:type="dxa" w:w="1234"/>
          </w:tcPr>
          <w:p>
            <w:r>
              <w:rPr>
                <w:rFonts w:ascii="Calibri" w:hAnsi="Calibri"/>
                <w:sz w:val="22"/>
              </w:rPr>
              <w:t>Ulrich Schmidt</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r>
        <w:tc>
          <w:tcPr>
            <w:tcW w:type="dxa" w:w="1234"/>
          </w:tcPr>
          <w:p>
            <w:r>
              <w:rPr>
                <w:rFonts w:ascii="Calibri" w:hAnsi="Calibri"/>
                <w:sz w:val="22"/>
              </w:rPr>
              <w:t>Gunner Smith</w:t>
            </w:r>
          </w:p>
        </w:tc>
        <w:tc>
          <w:tcPr>
            <w:tcW w:type="dxa" w:w="1234"/>
          </w:tcPr>
          <w:p>
            <w:r>
              <w:rPr>
                <w:rFonts w:ascii="Calibri" w:hAnsi="Calibri"/>
                <w:sz w:val="22"/>
              </w:rPr>
              <w:t>Director</w:t>
            </w:r>
          </w:p>
        </w:tc>
        <w:tc>
          <w:tcPr>
            <w:tcW w:type="dxa" w:w="1234"/>
          </w:tcPr>
          <w:p>
            <w:r>
              <w:rPr>
                <w:rFonts w:ascii="Calibri" w:hAnsi="Calibri"/>
                <w:sz w:val="22"/>
              </w:rPr>
              <w:t>Equity Award Grant (Code A)</w:t>
            </w:r>
          </w:p>
        </w:tc>
        <w:tc>
          <w:tcPr>
            <w:tcW w:type="dxa" w:w="1234"/>
          </w:tcPr>
          <w:p>
            <w:r>
              <w:rPr>
                <w:rFonts w:ascii="Calibri" w:hAnsi="Calibri"/>
                <w:sz w:val="22"/>
              </w:rPr>
              <w:t>731</w:t>
            </w:r>
          </w:p>
        </w:tc>
        <w:tc>
          <w:tcPr>
            <w:tcW w:type="dxa" w:w="1234"/>
          </w:tcPr>
          <w:p>
            <w:r>
              <w:rPr>
                <w:rFonts w:ascii="Calibri" w:hAnsi="Calibri"/>
                <w:sz w:val="22"/>
              </w:rPr>
              <w:t>N/A (non-cash grant)</w:t>
            </w:r>
          </w:p>
        </w:tc>
        <w:tc>
          <w:tcPr>
            <w:tcW w:type="dxa" w:w="1234"/>
          </w:tcPr>
          <w:p>
            <w:r>
              <w:rPr>
                <w:rFonts w:ascii="Calibri" w:hAnsi="Calibri"/>
                <w:sz w:val="22"/>
              </w:rPr>
              <w:t>May 21, 2026</w:t>
            </w:r>
          </w:p>
        </w:tc>
        <w:tc>
          <w:tcPr>
            <w:tcW w:type="dxa" w:w="1234"/>
          </w:tcPr>
          <w:p>
            <w:r>
              <w:rPr>
                <w:rFonts w:ascii="Calibri" w:hAnsi="Calibri"/>
                <w:sz w:val="22"/>
              </w:rPr>
              <w:t>Routine annual director equity award.</w:t>
            </w:r>
          </w:p>
        </w:tc>
      </w:tr>
    </w:tbl>
    <w:p>
      <w:r>
        <w:rPr>
          <w:rFonts w:ascii="Calibri" w:hAnsi="Calibri"/>
          <w:i/>
          <w:color w:val="525866"/>
          <w:sz w:val="22"/>
        </w:rPr>
        <w:t>Source: Insider Transaction Data (SEC Form 4 filings). Only open-market buys (Code P) and sells (Code S) are flagged as material; equity award grants (Code A) are routine non-cash compensation and not indicative of insider sentiment. No open-market buys were filed by any insider since Q1 2026 earnings. The Marchuk sale on May 11 is the only discretionary transaction and occurred at ~$272/share, 4 days after the Q1 earnings beat. No 10b5-1 plan was indicated in the filing. CEO John Plant and CFO Patrick Winterlich had no reported transactions in the period.</w:t>
      </w:r>
    </w:p>
    <w:p>
      <w:r>
        <w:br w:type="page"/>
      </w:r>
    </w:p>
    <w:p>
      <w:pPr>
        <w:pStyle w:val="Heading2"/>
      </w:pPr>
      <w:r>
        <w:rPr>
          <w:rFonts w:ascii="Calibri" w:hAnsi="Calibri"/>
          <w:b/>
          <w:color w:val="3B4259"/>
          <w:sz w:val="28"/>
        </w:rPr>
        <w:t>Appendix: Key Assumptions &amp; Risks</w:t>
      </w:r>
    </w:p>
    <w:p>
      <w:pPr>
        <w:pStyle w:val="ListBullet"/>
        <w:ind w:left="360" w:hanging="360"/>
      </w:pPr>
      <w:r>
        <w:rPr>
          <w:rFonts w:ascii="Calibri" w:hAnsi="Calibri"/>
          <w:b/>
          <w:color w:val="525866"/>
          <w:sz w:val="22"/>
        </w:rPr>
        <w:t>Boeing 737 Rate Upside:</w:t>
      </w:r>
      <w:r>
        <w:rPr>
          <w:rFonts w:ascii="Calibri" w:hAnsi="Calibri"/>
          <w:color w:val="525866"/>
          <w:sz w:val="22"/>
        </w:rPr>
        <w:t xml:space="preserve"> HWM's Q2 guidance embeds ~42/month average for FY 2026; Boeing confirmed 47/month ramp in Q2 earnings. If HWM updates its rate assumption on the Q2 call, it would represent incremental revenue upside to H2 2026 and FY 2026 guidance.</w:t>
      </w:r>
    </w:p>
    <w:p>
      <w:pPr>
        <w:pStyle w:val="ListBullet"/>
        <w:ind w:left="360" w:hanging="360"/>
      </w:pPr>
      <w:r>
        <w:rPr>
          <w:rFonts w:ascii="Calibri" w:hAnsi="Calibri"/>
          <w:b/>
          <w:color w:val="525866"/>
          <w:sz w:val="22"/>
        </w:rPr>
        <w:t>IGT Seventh Customer Contract:</w:t>
      </w:r>
      <w:r>
        <w:rPr>
          <w:rFonts w:ascii="Calibri" w:hAnsi="Calibri"/>
          <w:color w:val="525866"/>
          <w:sz w:val="22"/>
        </w:rPr>
        <w:t xml:space="preserve"> Management flagged at the Bernstein conference that the seventh (and largest) IGT customer contract was expected to close during Q2. Confirmation on the earnings call would be a positive catalyst for IGT revenue visibility.</w:t>
      </w:r>
    </w:p>
    <w:p>
      <w:pPr>
        <w:pStyle w:val="ListBullet"/>
        <w:ind w:left="360" w:hanging="360"/>
      </w:pPr>
      <w:r>
        <w:rPr>
          <w:rFonts w:ascii="Calibri" w:hAnsi="Calibri"/>
          <w:b/>
          <w:color w:val="525866"/>
          <w:sz w:val="22"/>
        </w:rPr>
        <w:t>CAM Integration Margin Dilution:</w:t>
      </w:r>
      <w:r>
        <w:rPr>
          <w:rFonts w:ascii="Calibri" w:hAnsi="Calibri"/>
          <w:color w:val="525866"/>
          <w:sz w:val="22"/>
        </w:rPr>
        <w:t xml:space="preserve"> CAM's current EBITDA margin (~20%) is below HWM's fastening systems average, creating near-term margin dilution in the Fastening Systems segment. Investors will focus on whether CAM integration is tracking management's 1–2 year improvement timeline.</w:t>
      </w:r>
    </w:p>
    <w:p>
      <w:pPr>
        <w:pStyle w:val="ListBullet"/>
        <w:ind w:left="360" w:hanging="360"/>
      </w:pPr>
      <w:r>
        <w:rPr>
          <w:rFonts w:ascii="Calibri" w:hAnsi="Calibri"/>
          <w:b/>
          <w:color w:val="525866"/>
          <w:sz w:val="22"/>
        </w:rPr>
        <w:t>Iran Conflict / Macro Uncertainty:</w:t>
      </w:r>
      <w:r>
        <w:rPr>
          <w:rFonts w:ascii="Calibri" w:hAnsi="Calibri"/>
          <w:color w:val="525866"/>
          <w:sz w:val="22"/>
        </w:rPr>
        <w:t xml:space="preserve"> Management flagged the Iran conflict as a source of elevated uncertainty for commercial aerospace spares demand (MRO slots backlogged but potential effect from conflict). TDG and RTX both noted no material impact on aftermarket demand through Q2, which is a positive read-through.</w:t>
      </w:r>
    </w:p>
    <w:p>
      <w:pPr>
        <w:pStyle w:val="ListBullet"/>
        <w:ind w:left="360" w:hanging="360"/>
      </w:pPr>
      <w:r>
        <w:rPr>
          <w:rFonts w:ascii="Calibri" w:hAnsi="Calibri"/>
          <w:b/>
          <w:color w:val="525866"/>
          <w:sz w:val="22"/>
        </w:rPr>
        <w:t>Rare Earth Supply Security:</w:t>
      </w:r>
      <w:r>
        <w:rPr>
          <w:rFonts w:ascii="Calibri" w:hAnsi="Calibri"/>
          <w:color w:val="525866"/>
          <w:sz w:val="22"/>
        </w:rPr>
        <w:t xml:space="preserve"> HWM is fully covered through 2026 and ~90% covered through 2027. No near-term risk, but geopolitical escalation could create longer-term supply chain concerns.</w:t>
      </w:r>
    </w:p>
    <w:p>
      <w:pPr>
        <w:pStyle w:val="ListBullet"/>
        <w:ind w:left="360" w:hanging="360"/>
      </w:pPr>
      <w:r>
        <w:rPr>
          <w:rFonts w:ascii="Calibri" w:hAnsi="Calibri"/>
          <w:b/>
          <w:color w:val="525866"/>
          <w:sz w:val="22"/>
        </w:rPr>
        <w:t>Valuation:</w:t>
      </w:r>
      <w:r>
        <w:rPr>
          <w:rFonts w:ascii="Calibri" w:hAnsi="Calibri"/>
          <w:color w:val="525866"/>
          <w:sz w:val="22"/>
        </w:rPr>
        <w:t xml:space="preserve"> HWM trades at ~51.7x forward P/E vs. industry average ~34.5x. Premium valuation leaves limited margin for error; a miss or guidance cut would likely result in a sharp de-rating.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