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dxx-earnings-predictions--2026-08-04"/>
    <w:p>
      <w:pPr>
        <w:pStyle w:val="Heading1"/>
      </w:pPr>
      <w:r>
        <w:t xml:space="preserve">IDXX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~$1.215B vs. cons $1.20B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~$4.05 vs. cons $3.95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CAG Diagnostics Recurring Organic Revenue Growth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~10.5% vs. cons ~9.5% (implied guide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14.80</m:t>
              </m:r>
              <m:r>
                <m:rPr>
                  <m:sty m:val="p"/>
                </m:rPr>
                <m:t>−</m:t>
              </m:r>
            </m:oMath>
            <w:r>
              <w:t xml:space="preserve">15.10 vs. cons ~$14.75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~8.7%-9.2% vs. cons ~8.7%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CAG Diagnostics Recurring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~9.5%-10.2% vs. cons ~9.7%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Operating Margin (comparable expansion)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~33.9%-34.3% vs. cons ~34.1%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InVue Dx Full-Year Placement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~5,500 units vs. cons ~5,500 units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A likely Q2 beat-and-modest-raise triggers an initial relief pop given the stock's ~21% de-rating off highs and low Zacks ESP bar, but the implied H2 CAG Diagnostics recurring growth deceleration (H1 running ~10%+ vs. FY midpoint ~8.7-9.7%) and the flagged Q2 margin-expansion step-down (spend timing) give analysts room to trim out-quarter/FY27 estimates once they model the tougher comps, capping and partially fading the initial move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2026-08-04T00:49:58Z</dcterms:created>
  <dcterms:modified xsi:type="dcterms:W3CDTF">2026-08-04T00:49:58Z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