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dxx-earnings-predictions--2026-08-04"/>
    <w:p>
      <w:pPr>
        <w:pStyle w:val="Heading1"/>
      </w:pPr>
      <w:r>
        <w:t xml:space="preserve">IDXX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~$1.218B vs. cons $1.205B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~$4.04 vs. cons $3.95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CAG Diagnostics recurring organic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~10.1% vs. cons 9.5%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revenue guidance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~$4.740B vs. cons $4.720B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CAG Diagnostics recurring organic revenue growth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~9.8% vs. cons 9.7%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diluted EPS guidance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~$14.82 vs. cons $14.68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IDXX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+6.2% (FOLLOW-THROUGH)</w:t>
            </w:r>
          </w:p>
        </w:tc>
        <w:tc>
          <w:tcPr/>
          <w:p>
            <w:pPr>
              <w:pStyle w:val="Compact"/>
            </w:pPr>
            <w:r>
              <w:t xml:space="preserve">The projected FY2026 EPS guide midpoint of ~$14.82 vs. consensus</w:t>
            </w:r>
            <w:r>
              <w:t xml:space="preserve"> </w:t>
            </w:r>
            <m:oMath>
              <m:r>
                <m:t>14.68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t</m:t>
              </m:r>
              <m:r>
                <m:t>h</m:t>
              </m:r>
              <m:r>
                <m:t>a</m:t>
              </m:r>
              <m:r>
                <m:t>t</m:t>
              </m:r>
              <m:r>
                <m:t>t</m:t>
              </m:r>
              <m:r>
                <m:t>h</m:t>
              </m:r>
              <m:r>
                <m:t>e</m:t>
              </m:r>
              <m:r>
                <m:t>e</m:t>
              </m:r>
              <m:r>
                <m:t>x</m:t>
              </m:r>
              <m:r>
                <m:t>p</m:t>
              </m:r>
              <m:r>
                <m:t>e</m:t>
              </m:r>
              <m:r>
                <m:t>c</m:t>
              </m:r>
              <m:r>
                <m:t>t</m:t>
              </m:r>
              <m:r>
                <m:t>e</m:t>
              </m:r>
              <m:r>
                <m:t>d</m:t>
              </m:r>
              <m:r>
                <m:t>Q</m:t>
              </m:r>
              <m:r>
                <m:t>2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4.04 vs. $3.95 is not merely absorbed by weaker out-period assumptions. Modest second-half revenue and recurring-growth upgrades should support upward estimate revisions after the initial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2026-08-04T00:47:10Z</dcterms:created>
  <dcterms:modified xsi:type="dcterms:W3CDTF">2026-08-04T00:47:10Z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