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idxx-2026q2-earnings-preview"/>
    <w:p>
      <w:pPr>
        <w:pStyle w:val="Heading1"/>
      </w:pPr>
      <w:r>
        <w:t xml:space="preserve">IDXX 2026Q2 Earnings Preview</w:t>
      </w:r>
    </w:p>
    <w:p>
      <w:pPr>
        <w:pStyle w:val="BlockText"/>
      </w:pPr>
      <w:r>
        <w:rPr>
          <w:b/>
          <w:bCs/>
        </w:rPr>
        <w:t xml:space="preserve">Date clarification:</w:t>
      </w:r>
      <w:r>
        <w:t xml:space="preserve"> </w:t>
      </w:r>
      <w:r>
        <w:t xml:space="preserve">The earnings-call date provided—</w:t>
      </w:r>
      <w:r>
        <w:rPr>
          <w:b/>
          <w:bCs/>
        </w:rPr>
        <w:t xml:space="preserve">August 4, 2026</w:t>
      </w:r>
      <w:r>
        <w:t xml:space="preserve">—is today, not tomorrow. This preview is therefore framed for IDEXX’s August 4 Q2 report and call.</w:t>
      </w:r>
    </w:p>
    <w:bookmarkStart w:id="9" w:name="investment-view-going-into-the-report"/>
    <w:p>
      <w:pPr>
        <w:pStyle w:val="Heading2"/>
      </w:pPr>
      <w:r>
        <w:t xml:space="preserve">Investment view going into the report</w:t>
      </w:r>
    </w:p>
    <w:p>
      <w:pPr>
        <w:pStyle w:val="FirstParagraph"/>
      </w:pPr>
      <w:r>
        <w:t xml:space="preserve">IDEXX enters Q2 with strong company-specific momentum but a still-challenging veterinary demand environment. First-quarter performance demonstrated that installed-base expansion, new diagnostics, higher testing intensity, international growth, and pricing can more than offset declining U.S. clinic visits.</w:t>
      </w:r>
    </w:p>
    <w:p>
      <w:pPr>
        <w:pStyle w:val="BodyText"/>
      </w:pPr>
      <w:r>
        <w:t xml:space="preserve">The central question is no longer whether IDEXX can grow despite weak visits—it already has. The question is whether it can sustain approximately double-digit recurring diagnostics growth as comparisons become harder and the contribution from capital-instrument revenue normalizes.</w:t>
      </w:r>
    </w:p>
    <w:p>
      <w:pPr>
        <w:pStyle w:val="BodyText"/>
      </w:pPr>
      <w:r>
        <w:t xml:space="preserve">The stock also leaves little room for a merely acceptable result. At the latest available close of</w:t>
      </w:r>
      <w:r>
        <w:t xml:space="preserve"> </w:t>
      </w:r>
      <w:r>
        <w:rPr>
          <w:b/>
          <w:bCs/>
        </w:rPr>
        <w:t xml:space="preserve">$567.88 on August 3</w:t>
      </w:r>
      <w:r>
        <w:t xml:space="preserve">, IDXX trades at approximately</w:t>
      </w:r>
      <w:r>
        <w:t xml:space="preserve"> </w:t>
      </w:r>
      <w:r>
        <w:rPr>
          <w:b/>
          <w:bCs/>
        </w:rPr>
        <w:t xml:space="preserve">38.7x</w:t>
      </w:r>
      <w:r>
        <w:t xml:space="preserve"> </w:t>
      </w:r>
      <w:r>
        <w:t xml:space="preserve">the midpoint of management’s 2026 EPS guidance. The shares are down about</w:t>
      </w:r>
      <w:r>
        <w:t xml:space="preserve"> </w:t>
      </w:r>
      <w:r>
        <w:rPr>
          <w:b/>
          <w:bCs/>
        </w:rPr>
        <w:t xml:space="preserve">16% year to date</w:t>
      </w:r>
      <w:r>
        <w:t xml:space="preserve"> </w:t>
      </w:r>
      <w:r>
        <w:t xml:space="preserve">and roughly flat since the Q1 report, but the valuation still assumes durable high-single-digit organic growth and continued margin expansion.</w:t>
      </w:r>
    </w:p>
    <w:p>
      <w:r>
        <w:pict>
          <v:rect style="width:0;height:1.5pt" o:hralign="center" o:hrstd="t" o:hr="t"/>
        </w:pict>
      </w:r>
    </w:p>
    <w:bookmarkEnd w:id="9"/>
    <w:bookmarkStart w:id="11" w:name="the-benchmark"/>
    <w:p>
      <w:pPr>
        <w:pStyle w:val="Heading2"/>
      </w:pPr>
      <w:r>
        <w:t xml:space="preserve">The benchmark</w:t>
      </w:r>
    </w:p>
    <w:p>
      <w:pPr>
        <w:pStyle w:val="FirstParagraph"/>
      </w:pPr>
      <w:r>
        <w:t xml:space="preserve">Management provided unusually specific Q2 guidance in May: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Q2 metric</w:t>
            </w:r>
          </w:p>
        </w:tc>
        <w:tc>
          <w:tcPr/>
          <w:p>
            <w:pPr>
              <w:pStyle w:val="Compact"/>
              <w:jc w:val="right"/>
            </w:pPr>
            <w:r>
              <w:t xml:space="preserve">Management’s outlook</w:t>
            </w:r>
          </w:p>
        </w:tc>
        <w:tc>
          <w:tcPr/>
          <w:p>
            <w:pPr>
              <w:pStyle w:val="Compact"/>
            </w:pPr>
            <w:r>
              <w:t xml:space="preserve">Implied/important context</w:t>
            </w:r>
          </w:p>
        </w:tc>
      </w:tr>
      <w:tr>
        <w:tc>
          <w:tcPr/>
          <w:p>
            <w:pPr>
              <w:pStyle w:val="Compact"/>
            </w:pPr>
            <w:r>
              <w:t xml:space="preserve">Reported revenue growth</w:t>
            </w:r>
          </w:p>
        </w:tc>
        <w:tc>
          <w:tcPr/>
          <w:p>
            <w:pPr>
              <w:pStyle w:val="Compact"/>
              <w:jc w:val="right"/>
            </w:pPr>
            <w:r>
              <w:rPr>
                <w:b/>
                <w:bCs/>
              </w:rPr>
              <w:t xml:space="preserve">7.3%–9.3%</w:t>
            </w:r>
          </w:p>
        </w:tc>
        <w:tc>
          <w:tcPr/>
          <w:p>
            <w:pPr>
              <w:pStyle w:val="Compact"/>
            </w:pPr>
            <w:r>
              <w:t xml:space="preserve">Approximately</w:t>
            </w:r>
            <w:r>
              <w:t xml:space="preserve"> </w:t>
            </w:r>
            <m:oMath>
              <m:r>
                <m:t>1.190</m:t>
              </m:r>
              <m:r>
                <m:t>B</m:t>
              </m:r>
              <m:r>
                <m:rPr>
                  <m:sty m:val="p"/>
                </m:rPr>
                <m:t>–</m:t>
              </m:r>
            </m:oMath>
            <w:r>
              <w:rPr>
                <w:b/>
                <w:bCs/>
              </w:rPr>
              <w:t xml:space="preserve">1.213B</w:t>
            </w:r>
          </w:p>
        </w:tc>
      </w:tr>
      <w:tr>
        <w:tc>
          <w:tcPr/>
          <w:p>
            <w:pPr>
              <w:pStyle w:val="Compact"/>
            </w:pPr>
            <w:r>
              <w:t xml:space="preserve">Organic revenue growth</w:t>
            </w:r>
          </w:p>
        </w:tc>
        <w:tc>
          <w:tcPr/>
          <w:p>
            <w:pPr>
              <w:pStyle w:val="Compact"/>
              <w:jc w:val="right"/>
            </w:pPr>
            <w:r>
              <w:rPr>
                <w:b/>
                <w:bCs/>
              </w:rPr>
              <w:t xml:space="preserve">6.7%–8.7%</w:t>
            </w:r>
          </w:p>
        </w:tc>
        <w:tc>
          <w:tcPr/>
          <w:p>
            <w:pPr>
              <w:pStyle w:val="Compact"/>
            </w:pPr>
            <w:r>
              <w:t xml:space="preserve">Includes an approximately</w:t>
            </w:r>
            <w:r>
              <w:t xml:space="preserve"> </w:t>
            </w:r>
            <w:r>
              <w:rPr>
                <w:b/>
                <w:bCs/>
              </w:rPr>
              <w:t xml:space="preserve">50 bp calendar-day headwind</w:t>
            </w:r>
          </w:p>
        </w:tc>
      </w:tr>
      <w:tr>
        <w:tc>
          <w:tcPr/>
          <w:p>
            <w:pPr>
              <w:pStyle w:val="Compact"/>
            </w:pPr>
            <w:r>
              <w:t xml:space="preserve">CAG Diagnostics recurring organic growth</w:t>
            </w:r>
          </w:p>
        </w:tc>
        <w:tc>
          <w:tcPr/>
          <w:p>
            <w:pPr>
              <w:pStyle w:val="Compact"/>
              <w:jc w:val="right"/>
            </w:pPr>
            <w:r>
              <w:rPr>
                <w:b/>
                <w:bCs/>
              </w:rPr>
              <w:t xml:space="preserve">8.5%–10.5%</w:t>
            </w:r>
          </w:p>
        </w:tc>
        <w:tc>
          <w:tcPr/>
          <w:p>
            <w:pPr>
              <w:pStyle w:val="Compact"/>
            </w:pPr>
            <w:r>
              <w:t xml:space="preserve">The most important operating metric</w:t>
            </w:r>
          </w:p>
        </w:tc>
      </w:tr>
      <w:tr>
        <w:tc>
          <w:tcPr/>
          <w:p>
            <w:pPr>
              <w:pStyle w:val="Compact"/>
            </w:pPr>
            <w:r>
              <w:t xml:space="preserve">Reported operating margin</w:t>
            </w:r>
          </w:p>
        </w:tc>
        <w:tc>
          <w:tcPr/>
          <w:p>
            <w:pPr>
              <w:pStyle w:val="Compact"/>
              <w:jc w:val="right"/>
            </w:pPr>
            <w:r>
              <w:rPr>
                <w:b/>
                <w:bCs/>
              </w:rPr>
              <w:t xml:space="preserve">33.9%–34.3%</w:t>
            </w:r>
          </w:p>
        </w:tc>
        <w:tc>
          <w:tcPr/>
          <w:p>
            <w:pPr>
              <w:pStyle w:val="Compact"/>
            </w:pPr>
            <w:r>
              <w:t xml:space="preserve">Versus 33.6% in Q2 2025</w:t>
            </w:r>
          </w:p>
        </w:tc>
      </w:tr>
      <w:tr>
        <w:tc>
          <w:tcPr/>
          <w:p>
            <w:pPr>
              <w:pStyle w:val="Compact"/>
            </w:pPr>
            <w:r>
              <w:t xml:space="preserve">Comparable margin expansion</w:t>
            </w:r>
          </w:p>
        </w:tc>
        <w:tc>
          <w:tcPr/>
          <w:p>
            <w:pPr>
              <w:pStyle w:val="Compact"/>
              <w:jc w:val="right"/>
            </w:pPr>
            <w:r>
              <w:rPr>
                <w:b/>
                <w:bCs/>
              </w:rPr>
              <w:t xml:space="preserve">10–50 bp</w:t>
            </w:r>
          </w:p>
        </w:tc>
        <w:tc>
          <w:tcPr/>
          <w:p>
            <w:pPr>
              <w:pStyle w:val="Compact"/>
            </w:pPr>
            <w:r>
              <w:t xml:space="preserve">Higher project spending partly offsets operating leverage</w:t>
            </w:r>
          </w:p>
        </w:tc>
      </w:tr>
      <w:tr>
        <w:tc>
          <w:tcPr/>
          <w:p>
            <w:pPr>
              <w:pStyle w:val="Compact"/>
            </w:pPr>
            <w:r>
              <w:t xml:space="preserve">U.S. clinical visits</w:t>
            </w:r>
          </w:p>
        </w:tc>
        <w:tc>
          <w:tcPr/>
          <w:p>
            <w:pPr>
              <w:pStyle w:val="Compact"/>
              <w:jc w:val="right"/>
            </w:pPr>
            <w:r>
              <w:t xml:space="preserve">Around the full-year assumption</w:t>
            </w:r>
          </w:p>
        </w:tc>
        <w:tc>
          <w:tcPr/>
          <w:p>
            <w:pPr>
              <w:pStyle w:val="Compact"/>
            </w:pPr>
            <w:r>
              <w:t xml:space="preserve">Full-year assumption was</w:t>
            </w:r>
            <w:r>
              <w:t xml:space="preserve"> </w:t>
            </w:r>
            <w:r>
              <w:rPr>
                <w:b/>
                <w:bCs/>
              </w:rPr>
              <w:t xml:space="preserve">-1.5%</w:t>
            </w:r>
          </w:p>
        </w:tc>
      </w:tr>
    </w:tbl>
    <w:p>
      <w:pPr>
        <w:pStyle w:val="BodyText"/>
      </w:pPr>
      <w:r>
        <w:t xml:space="preserve">A mechanical calculation using the revenue and margin guidance suggests operating income of roughly</w:t>
      </w:r>
      <w:r>
        <w:t xml:space="preserve"> </w:t>
      </w:r>
      <m:oMath>
        <m:r>
          <m:t>404</m:t>
        </m:r>
        <m:r>
          <m:t>M</m:t>
        </m:r>
        <m:r>
          <m:rPr>
            <m:sty m:val="p"/>
          </m:rPr>
          <m:t>–</m:t>
        </m:r>
      </m:oMath>
      <w:r>
        <w:rPr>
          <w:b/>
          <w:bCs/>
        </w:rPr>
        <w:t xml:space="preserve">416M</w:t>
      </w:r>
      <w:r>
        <w:t xml:space="preserve">. Applying management’s annual tax and share-count assumptions produces an approximate EPS range around</w:t>
      </w:r>
      <w:r>
        <w:t xml:space="preserve"> </w:t>
      </w:r>
      <m:oMath>
        <m:r>
          <m:t>3.90</m:t>
        </m:r>
        <m:r>
          <m:rPr>
            <m:sty m:val="p"/>
          </m:rPr>
          <m:t>–</m:t>
        </m:r>
      </m:oMath>
      <w:r>
        <w:rPr>
          <w:b/>
          <w:bCs/>
        </w:rPr>
        <w:t xml:space="preserve">4.00</w:t>
      </w:r>
      <w:r>
        <w:t xml:space="preserve">, although quarterly stock-compensation tax benefits can create meaningful variation. This is not company guidance.</w:t>
      </w:r>
    </w:p>
    <w:bookmarkStart w:id="10" w:name="current-full-year-guidance"/>
    <w:p>
      <w:pPr>
        <w:pStyle w:val="Heading3"/>
      </w:pPr>
      <w:r>
        <w:t xml:space="preserve">Current full-year guidance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metric</w:t>
            </w:r>
          </w:p>
        </w:tc>
        <w:tc>
          <w:tcPr/>
          <w:p>
            <w:pPr>
              <w:pStyle w:val="Compact"/>
              <w:jc w:val="right"/>
            </w:pPr>
            <w:r>
              <w:t xml:space="preserve">Guidance after Q1</w:t>
            </w:r>
          </w:p>
        </w:tc>
      </w:tr>
      <w:tr>
        <w:tc>
          <w:tcPr/>
          <w:p>
            <w:pPr>
              <w:pStyle w:val="Compact"/>
            </w:pPr>
            <w:r>
              <w:t xml:space="preserve">Revenue</w:t>
            </w:r>
          </w:p>
        </w:tc>
        <w:tc>
          <w:tcPr/>
          <w:p>
            <w:pPr>
              <w:pStyle w:val="Compact"/>
              <w:jc w:val="right"/>
            </w:pPr>
            <m:oMath>
              <m:r>
                <m:t>4.675</m:t>
              </m:r>
              <m:r>
                <m:t>B</m:t>
              </m:r>
              <m:r>
                <m:rPr>
                  <m:sty m:val="p"/>
                </m:rPr>
                <m:t>–</m:t>
              </m:r>
            </m:oMath>
            <w:r>
              <w:rPr>
                <w:b/>
                <w:bCs/>
              </w:rPr>
              <w:t xml:space="preserve">4.760B</w:t>
            </w:r>
          </w:p>
        </w:tc>
      </w:tr>
      <w:tr>
        <w:tc>
          <w:tcPr/>
          <w:p>
            <w:pPr>
              <w:pStyle w:val="Compact"/>
            </w:pPr>
            <w:r>
              <w:t xml:space="preserve">Reported revenue growth</w:t>
            </w:r>
          </w:p>
        </w:tc>
        <w:tc>
          <w:tcPr/>
          <w:p>
            <w:pPr>
              <w:pStyle w:val="Compact"/>
              <w:jc w:val="right"/>
            </w:pPr>
            <w:r>
              <w:rPr>
                <w:b/>
                <w:bCs/>
              </w:rPr>
              <w:t xml:space="preserve">8.6%–10.6%</w:t>
            </w:r>
          </w:p>
        </w:tc>
      </w:tr>
      <w:tr>
        <w:tc>
          <w:tcPr/>
          <w:p>
            <w:pPr>
              <w:pStyle w:val="Compact"/>
            </w:pPr>
            <w:r>
              <w:t xml:space="preserve">Organic revenue growth</w:t>
            </w:r>
          </w:p>
        </w:tc>
        <w:tc>
          <w:tcPr/>
          <w:p>
            <w:pPr>
              <w:pStyle w:val="Compact"/>
              <w:jc w:val="right"/>
            </w:pPr>
            <w:r>
              <w:rPr>
                <w:b/>
                <w:bCs/>
              </w:rPr>
              <w:t xml:space="preserve">7.7%–9.7%</w:t>
            </w:r>
          </w:p>
        </w:tc>
      </w:tr>
      <w:tr>
        <w:tc>
          <w:tcPr/>
          <w:p>
            <w:pPr>
              <w:pStyle w:val="Compact"/>
            </w:pPr>
            <w:r>
              <w:t xml:space="preserve">CAG Diagnostics recurring organic growth</w:t>
            </w:r>
          </w:p>
        </w:tc>
        <w:tc>
          <w:tcPr/>
          <w:p>
            <w:pPr>
              <w:pStyle w:val="Compact"/>
              <w:jc w:val="right"/>
            </w:pPr>
            <w:r>
              <w:rPr>
                <w:b/>
                <w:bCs/>
              </w:rPr>
              <w:t xml:space="preserve">8.7%–10.7%</w:t>
            </w:r>
          </w:p>
        </w:tc>
      </w:tr>
      <w:tr>
        <w:tc>
          <w:tcPr/>
          <w:p>
            <w:pPr>
              <w:pStyle w:val="Compact"/>
            </w:pPr>
            <w:r>
              <w:t xml:space="preserve">Operating margin</w:t>
            </w:r>
          </w:p>
        </w:tc>
        <w:tc>
          <w:tcPr/>
          <w:p>
            <w:pPr>
              <w:pStyle w:val="Compact"/>
              <w:jc w:val="right"/>
            </w:pPr>
            <w:r>
              <w:rPr>
                <w:b/>
                <w:bCs/>
              </w:rPr>
              <w:t xml:space="preserve">32.1%–32.5%</w:t>
            </w:r>
          </w:p>
        </w:tc>
      </w:tr>
      <w:tr>
        <w:tc>
          <w:tcPr/>
          <w:p>
            <w:pPr>
              <w:pStyle w:val="Compact"/>
            </w:pPr>
            <w:r>
              <w:t xml:space="preserve">EPS</w:t>
            </w:r>
          </w:p>
        </w:tc>
        <w:tc>
          <w:tcPr/>
          <w:p>
            <w:pPr>
              <w:pStyle w:val="Compact"/>
              <w:jc w:val="right"/>
            </w:pPr>
            <m:oMath>
              <m:r>
                <m:t>14.45</m:t>
              </m:r>
              <m:r>
                <m:rPr>
                  <m:sty m:val="p"/>
                </m:rPr>
                <m:t>–</m:t>
              </m:r>
            </m:oMath>
            <w:r>
              <w:rPr>
                <w:b/>
                <w:bCs/>
              </w:rPr>
              <w:t xml:space="preserve">14.90</w:t>
            </w:r>
          </w:p>
        </w:tc>
      </w:tr>
      <w:tr>
        <w:tc>
          <w:tcPr/>
          <w:p>
            <w:pPr>
              <w:pStyle w:val="Compact"/>
            </w:pPr>
            <w:r>
              <w:t xml:space="preserve">Free-cash-flow conversion</w:t>
            </w:r>
          </w:p>
        </w:tc>
        <w:tc>
          <w:tcPr/>
          <w:p>
            <w:pPr>
              <w:pStyle w:val="Compact"/>
              <w:jc w:val="right"/>
            </w:pPr>
            <w:r>
              <w:rPr>
                <w:b/>
                <w:bCs/>
              </w:rPr>
              <w:t xml:space="preserve">85%–95% of net income</w:t>
            </w:r>
          </w:p>
        </w:tc>
      </w:tr>
    </w:tbl>
    <w:p>
      <w:pPr>
        <w:pStyle w:val="BodyText"/>
      </w:pPr>
      <w:r>
        <w:t xml:space="preserve">The Q1 guide increase was explicitly volume-driven rather than price-driven. That makes Q2 volume and utilization commentary especially important.</w:t>
      </w:r>
    </w:p>
    <w:p>
      <w:r>
        <w:pict>
          <v:rect style="width:0;height:1.5pt" o:hralign="center" o:hrstd="t" o:hr="t"/>
        </w:pict>
      </w:r>
    </w:p>
    <w:bookmarkEnd w:id="10"/>
    <w:bookmarkEnd w:id="11"/>
    <w:bookmarkStart w:id="18" w:name="what-matters-most"/>
    <w:p>
      <w:pPr>
        <w:pStyle w:val="Heading2"/>
      </w:pPr>
      <w:r>
        <w:t xml:space="preserve">What matters most</w:t>
      </w:r>
    </w:p>
    <w:bookmarkStart w:id="12" w:name="Xebd3b10438c7e2f9069c4345b6f722ab07dbaed"/>
    <w:p>
      <w:pPr>
        <w:pStyle w:val="Heading3"/>
      </w:pPr>
      <w:r>
        <w:t xml:space="preserve">1. Can CAG recurring revenue remain near double-digit growth?</w:t>
      </w:r>
    </w:p>
    <w:p>
      <w:pPr>
        <w:pStyle w:val="FirstParagraph"/>
      </w:pPr>
      <w:r>
        <w:t xml:space="preserve">This is the primary KPI. CAG Diagnostics recurring revenue accounts for most of IDEXX’s revenue and carries attractive economics.</w:t>
      </w:r>
    </w:p>
    <w:p>
      <w:pPr>
        <w:pStyle w:val="BodyText"/>
      </w:pPr>
      <w:r>
        <w:t xml:space="preserve">Q1 recurring revenue grew</w:t>
      </w:r>
      <w:r>
        <w:t xml:space="preserve"> </w:t>
      </w:r>
      <w:r>
        <w:rPr>
          <w:b/>
          <w:bCs/>
        </w:rPr>
        <w:t xml:space="preserve">11% organically</w:t>
      </w:r>
      <w:r>
        <w:t xml:space="preserve">, comprising:</w:t>
      </w:r>
    </w:p>
    <w:p>
      <w:pPr>
        <w:pStyle w:val="Compact"/>
        <w:numPr>
          <w:ilvl w:val="0"/>
          <w:numId w:val="1001"/>
        </w:numPr>
      </w:pPr>
      <w:r>
        <w:rPr>
          <w:b/>
          <w:bCs/>
        </w:rPr>
        <w:t xml:space="preserve">15%</w:t>
      </w:r>
      <w:r>
        <w:t xml:space="preserve"> </w:t>
      </w:r>
      <w:r>
        <w:t xml:space="preserve">organic growth in VetLab consumables;</w:t>
      </w:r>
    </w:p>
    <w:p>
      <w:pPr>
        <w:pStyle w:val="Compact"/>
        <w:numPr>
          <w:ilvl w:val="0"/>
          <w:numId w:val="1001"/>
        </w:numPr>
      </w:pPr>
      <w:r>
        <w:rPr>
          <w:b/>
          <w:bCs/>
        </w:rPr>
        <w:t xml:space="preserve">10%</w:t>
      </w:r>
      <w:r>
        <w:t xml:space="preserve"> </w:t>
      </w:r>
      <w:r>
        <w:t xml:space="preserve">in reference laboratory revenue;</w:t>
      </w:r>
    </w:p>
    <w:p>
      <w:pPr>
        <w:pStyle w:val="Compact"/>
        <w:numPr>
          <w:ilvl w:val="0"/>
          <w:numId w:val="1001"/>
        </w:numPr>
      </w:pPr>
      <w:r>
        <w:t xml:space="preserve">Flat rapid-assay revenue; and</w:t>
      </w:r>
    </w:p>
    <w:p>
      <w:pPr>
        <w:pStyle w:val="Compact"/>
        <w:numPr>
          <w:ilvl w:val="0"/>
          <w:numId w:val="1001"/>
        </w:numPr>
      </w:pPr>
      <w:r>
        <w:t xml:space="preserve">Approximately</w:t>
      </w:r>
      <w:r>
        <w:t xml:space="preserve"> </w:t>
      </w:r>
      <w:r>
        <w:rPr>
          <w:b/>
          <w:bCs/>
        </w:rPr>
        <w:t xml:space="preserve">11% U.S.</w:t>
      </w:r>
      <w:r>
        <w:t xml:space="preserve"> </w:t>
      </w:r>
      <w:r>
        <w:t xml:space="preserve">and</w:t>
      </w:r>
      <w:r>
        <w:t xml:space="preserve"> </w:t>
      </w:r>
      <w:r>
        <w:rPr>
          <w:b/>
          <w:bCs/>
        </w:rPr>
        <w:t xml:space="preserve">12% international</w:t>
      </w:r>
      <w:r>
        <w:t xml:space="preserve"> </w:t>
      </w:r>
      <w:r>
        <w:t xml:space="preserve">recurring growth.</w:t>
      </w:r>
    </w:p>
    <w:p>
      <w:pPr>
        <w:pStyle w:val="FirstParagraph"/>
      </w:pPr>
      <w:r>
        <w:t xml:space="preserve">For Q2, results at or above the upper half of the</w:t>
      </w:r>
      <w:r>
        <w:t xml:space="preserve"> </w:t>
      </w:r>
      <w:r>
        <w:rPr>
          <w:b/>
          <w:bCs/>
        </w:rPr>
        <w:t xml:space="preserve">8.5%–10.5%</w:t>
      </w:r>
      <w:r>
        <w:t xml:space="preserve"> </w:t>
      </w:r>
      <w:r>
        <w:t xml:space="preserve">range would indicate that the Q1 momentum was not simply timing or an easy comparison. Investors should focus on the mix between:</w:t>
      </w:r>
    </w:p>
    <w:p>
      <w:pPr>
        <w:pStyle w:val="Compact"/>
        <w:numPr>
          <w:ilvl w:val="0"/>
          <w:numId w:val="1002"/>
        </w:numPr>
      </w:pPr>
      <w:r>
        <w:t xml:space="preserve">Net new customers;</w:t>
      </w:r>
    </w:p>
    <w:p>
      <w:pPr>
        <w:pStyle w:val="Compact"/>
        <w:numPr>
          <w:ilvl w:val="0"/>
          <w:numId w:val="1002"/>
        </w:numPr>
      </w:pPr>
      <w:r>
        <w:t xml:space="preserve">Same-store testing utilization;</w:t>
      </w:r>
    </w:p>
    <w:p>
      <w:pPr>
        <w:pStyle w:val="Compact"/>
        <w:numPr>
          <w:ilvl w:val="0"/>
          <w:numId w:val="1002"/>
        </w:numPr>
      </w:pPr>
      <w:r>
        <w:t xml:space="preserve">Installed-base growth;</w:t>
      </w:r>
    </w:p>
    <w:p>
      <w:pPr>
        <w:pStyle w:val="Compact"/>
        <w:numPr>
          <w:ilvl w:val="0"/>
          <w:numId w:val="1002"/>
        </w:numPr>
      </w:pPr>
      <w:r>
        <w:t xml:space="preserve">Recent product launches;</w:t>
      </w:r>
    </w:p>
    <w:p>
      <w:pPr>
        <w:pStyle w:val="Compact"/>
        <w:numPr>
          <w:ilvl w:val="0"/>
          <w:numId w:val="1002"/>
        </w:numPr>
      </w:pPr>
      <w:r>
        <w:t xml:space="preserve">Approximately</w:t>
      </w:r>
      <w:r>
        <w:t xml:space="preserve"> </w:t>
      </w:r>
      <w:r>
        <w:rPr>
          <w:b/>
          <w:bCs/>
        </w:rPr>
        <w:t xml:space="preserve">4% global net pricing</w:t>
      </w:r>
      <w:r>
        <w:t xml:space="preserve">; and</w:t>
      </w:r>
    </w:p>
    <w:p>
      <w:pPr>
        <w:pStyle w:val="Compact"/>
        <w:numPr>
          <w:ilvl w:val="0"/>
          <w:numId w:val="1002"/>
        </w:numPr>
      </w:pPr>
      <w:r>
        <w:t xml:space="preserve">Foreign exchange.</w:t>
      </w:r>
    </w:p>
    <w:p>
      <w:pPr>
        <w:pStyle w:val="FirstParagraph"/>
      </w:pPr>
      <w:r>
        <w:t xml:space="preserve">A result near 9% could still be fundamentally good, but it may not be enough to drive upside unless management also raises the full-year outlook.</w:t>
      </w:r>
    </w:p>
    <w:bookmarkEnd w:id="12"/>
    <w:bookmarkStart w:id="13" w:name="Xbb34b336ea9ca8900a60502f7ae221084c51658"/>
    <w:p>
      <w:pPr>
        <w:pStyle w:val="Heading3"/>
      </w:pPr>
      <w:r>
        <w:t xml:space="preserve">2. Veterinary visits versus diagnostics utilization</w:t>
      </w:r>
    </w:p>
    <w:p>
      <w:pPr>
        <w:pStyle w:val="FirstParagraph"/>
      </w:pPr>
      <w:r>
        <w:t xml:space="preserve">The end market remains the largest external risk.</w:t>
      </w:r>
    </w:p>
    <w:p>
      <w:pPr>
        <w:pStyle w:val="BodyText"/>
      </w:pPr>
      <w:r>
        <w:t xml:space="preserve">In Q1:</w:t>
      </w:r>
    </w:p>
    <w:p>
      <w:pPr>
        <w:pStyle w:val="Compact"/>
        <w:numPr>
          <w:ilvl w:val="0"/>
          <w:numId w:val="1003"/>
        </w:numPr>
      </w:pPr>
      <w:r>
        <w:t xml:space="preserve">U.S. same-store clinical visits declined approximately</w:t>
      </w:r>
      <w:r>
        <w:t xml:space="preserve"> </w:t>
      </w:r>
      <w:r>
        <w:rPr>
          <w:b/>
          <w:bCs/>
        </w:rPr>
        <w:t xml:space="preserve">1%</w:t>
      </w:r>
      <w:r>
        <w:t xml:space="preserve">;</w:t>
      </w:r>
    </w:p>
    <w:p>
      <w:pPr>
        <w:pStyle w:val="Compact"/>
        <w:numPr>
          <w:ilvl w:val="0"/>
          <w:numId w:val="1003"/>
        </w:numPr>
      </w:pPr>
      <w:r>
        <w:t xml:space="preserve">Wellness visits declined approximately</w:t>
      </w:r>
      <w:r>
        <w:t xml:space="preserve"> </w:t>
      </w:r>
      <w:r>
        <w:rPr>
          <w:b/>
          <w:bCs/>
        </w:rPr>
        <w:t xml:space="preserve">3%</w:t>
      </w:r>
      <w:r>
        <w:t xml:space="preserve">;</w:t>
      </w:r>
    </w:p>
    <w:p>
      <w:pPr>
        <w:pStyle w:val="Compact"/>
        <w:numPr>
          <w:ilvl w:val="0"/>
          <w:numId w:val="1003"/>
        </w:numPr>
      </w:pPr>
      <w:r>
        <w:t xml:space="preserve">Non-well visits were slightly positive; and</w:t>
      </w:r>
    </w:p>
    <w:p>
      <w:pPr>
        <w:pStyle w:val="Compact"/>
        <w:numPr>
          <w:ilvl w:val="0"/>
          <w:numId w:val="1003"/>
        </w:numPr>
      </w:pPr>
      <w:r>
        <w:t xml:space="preserve">Older pets continued to support demand.</w:t>
      </w:r>
    </w:p>
    <w:p>
      <w:pPr>
        <w:pStyle w:val="FirstParagraph"/>
      </w:pPr>
      <w:r>
        <w:t xml:space="preserve">Despite the visit decline, IDEXX’s U.S. recurring diagnostics revenue grew nearly 11%, an unusually large premium to clinic traffic. The company attributed this to increased diagnostic frequency, higher utilization per visit, innovation, and commercial execution.</w:t>
      </w:r>
    </w:p>
    <w:p>
      <w:pPr>
        <w:pStyle w:val="BodyText"/>
      </w:pPr>
      <w:r>
        <w:t xml:space="preserve">The report should clarify whether:</w:t>
      </w:r>
    </w:p>
    <w:p>
      <w:pPr>
        <w:pStyle w:val="Compact"/>
        <w:numPr>
          <w:ilvl w:val="0"/>
          <w:numId w:val="1004"/>
        </w:numPr>
      </w:pPr>
      <w:r>
        <w:t xml:space="preserve">Overall visits remained around the</w:t>
      </w:r>
      <w:r>
        <w:t xml:space="preserve"> </w:t>
      </w:r>
      <w:r>
        <w:rPr>
          <w:b/>
          <w:bCs/>
        </w:rPr>
        <w:t xml:space="preserve">-1% to -2%</w:t>
      </w:r>
      <w:r>
        <w:t xml:space="preserve"> </w:t>
      </w:r>
      <w:r>
        <w:t xml:space="preserve">range;</w:t>
      </w:r>
    </w:p>
    <w:p>
      <w:pPr>
        <w:pStyle w:val="Compact"/>
        <w:numPr>
          <w:ilvl w:val="0"/>
          <w:numId w:val="1004"/>
        </w:numPr>
      </w:pPr>
      <w:r>
        <w:t xml:space="preserve">Non-well visits continued to improve;</w:t>
      </w:r>
    </w:p>
    <w:p>
      <w:pPr>
        <w:pStyle w:val="Compact"/>
        <w:numPr>
          <w:ilvl w:val="0"/>
          <w:numId w:val="1004"/>
        </w:numPr>
      </w:pPr>
      <w:r>
        <w:t xml:space="preserve">Wellness pressure worsened as consumers made discretionary trade-offs; and</w:t>
      </w:r>
    </w:p>
    <w:p>
      <w:pPr>
        <w:pStyle w:val="Compact"/>
        <w:numPr>
          <w:ilvl w:val="0"/>
          <w:numId w:val="1004"/>
        </w:numPr>
      </w:pPr>
      <w:r>
        <w:t xml:space="preserve">Diagnostic intensity remained resilient.</w:t>
      </w:r>
    </w:p>
    <w:p>
      <w:pPr>
        <w:pStyle w:val="FirstParagraph"/>
      </w:pPr>
      <w:r>
        <w:t xml:space="preserve">The best outcome would be stable or improving visits combined with continued testing-frequency gains. A deterioration in both visits and utilization would challenge the core argument that diagnostics can remain largely insulated from veterinary-sector weakness.</w:t>
      </w:r>
    </w:p>
    <w:bookmarkEnd w:id="13"/>
    <w:bookmarkStart w:id="14" w:name="Xa81bca182aa823bce031e05414b967a1b7b13c4"/>
    <w:p>
      <w:pPr>
        <w:pStyle w:val="Heading3"/>
      </w:pPr>
      <w:r>
        <w:t xml:space="preserve">3. inVue Dx placements and recurring revenue</w:t>
      </w:r>
    </w:p>
    <w:p>
      <w:pPr>
        <w:pStyle w:val="FirstParagraph"/>
      </w:pPr>
      <w:r>
        <w:t xml:space="preserve">IDEXX placed</w:t>
      </w:r>
      <w:r>
        <w:t xml:space="preserve"> </w:t>
      </w:r>
      <w:r>
        <w:rPr>
          <w:b/>
          <w:bCs/>
        </w:rPr>
        <w:t xml:space="preserve">1,100 inVue Dx analyzers in Q1</w:t>
      </w:r>
      <w:r>
        <w:t xml:space="preserve"> </w:t>
      </w:r>
      <w:r>
        <w:t xml:space="preserve">and maintained its full-year target of</w:t>
      </w:r>
      <w:r>
        <w:t xml:space="preserve"> </w:t>
      </w:r>
      <w:r>
        <w:rPr>
          <w:b/>
          <w:bCs/>
        </w:rPr>
        <w:t xml:space="preserve">5,500</w:t>
      </w:r>
      <w:r>
        <w:t xml:space="preserve">. That leaves 4,400 placements over the final three quarters, or an average of about 1,467 per quarter.</w:t>
      </w:r>
    </w:p>
    <w:p>
      <w:pPr>
        <w:pStyle w:val="BodyText"/>
      </w:pPr>
      <w:r>
        <w:t xml:space="preserve">Q2 instrument revenue is expected to decline because IDEXX is lapping nearly</w:t>
      </w:r>
      <w:r>
        <w:t xml:space="preserve"> </w:t>
      </w:r>
      <w:r>
        <w:rPr>
          <w:b/>
          <w:bCs/>
        </w:rPr>
        <w:t xml:space="preserve">2,400 inVue placements in Q2 2025</w:t>
      </w:r>
      <w:r>
        <w:t xml:space="preserve">, when the broader commercial rollout created an unusually difficult comparison. Investors should therefore avoid treating weaker capital-instrument revenue as inherently negative.</w:t>
      </w:r>
    </w:p>
    <w:p>
      <w:pPr>
        <w:pStyle w:val="BodyText"/>
      </w:pPr>
      <w:r>
        <w:t xml:space="preserve">More important questions are:</w:t>
      </w:r>
    </w:p>
    <w:p>
      <w:pPr>
        <w:pStyle w:val="Compact"/>
        <w:numPr>
          <w:ilvl w:val="0"/>
          <w:numId w:val="1005"/>
        </w:numPr>
      </w:pPr>
      <w:r>
        <w:t xml:space="preserve">Does management still expect 5,500 full-year placements?</w:t>
      </w:r>
    </w:p>
    <w:p>
      <w:pPr>
        <w:pStyle w:val="Compact"/>
        <w:numPr>
          <w:ilvl w:val="0"/>
          <w:numId w:val="1005"/>
        </w:numPr>
      </w:pPr>
      <w:r>
        <w:t xml:space="preserve">Is the placement pipeline strong enough to support an acceleration after Q1?</w:t>
      </w:r>
    </w:p>
    <w:p>
      <w:pPr>
        <w:pStyle w:val="Compact"/>
        <w:numPr>
          <w:ilvl w:val="0"/>
          <w:numId w:val="1005"/>
        </w:numPr>
      </w:pPr>
      <w:r>
        <w:t xml:space="preserve">Does customer retention remain in the high-90% range?</w:t>
      </w:r>
    </w:p>
    <w:p>
      <w:pPr>
        <w:pStyle w:val="Compact"/>
        <w:numPr>
          <w:ilvl w:val="0"/>
          <w:numId w:val="1005"/>
        </w:numPr>
      </w:pPr>
      <w:r>
        <w:t xml:space="preserve">Is recurring revenue per installed analyzer tracking within the previously communicated</w:t>
      </w:r>
      <w:r>
        <w:t xml:space="preserve"> </w:t>
      </w:r>
      <m:oMath>
        <m:r>
          <m:t>3</m:t>
        </m:r>
        <m:r>
          <m:rPr>
            <m:sty m:val="p"/>
          </m:rPr>
          <m:t>,</m:t>
        </m:r>
        <m:r>
          <m:t>500</m:t>
        </m:r>
        <m:r>
          <m:rPr>
            <m:sty m:val="p"/>
          </m:rPr>
          <m:t>–</m:t>
        </m:r>
      </m:oMath>
      <w:r>
        <w:rPr>
          <w:b/>
          <w:bCs/>
        </w:rPr>
        <w:t xml:space="preserve">5,500</w:t>
      </w:r>
      <w:r>
        <w:t xml:space="preserve"> </w:t>
      </w:r>
      <w:r>
        <w:t xml:space="preserve">range?</w:t>
      </w:r>
    </w:p>
    <w:p>
      <w:pPr>
        <w:pStyle w:val="Compact"/>
        <w:numPr>
          <w:ilvl w:val="0"/>
          <w:numId w:val="1005"/>
        </w:numPr>
      </w:pPr>
      <w:r>
        <w:t xml:space="preserve">Are placements bringing genuinely new customers into the IDEXX ecosystem or primarily going to existing accounts?</w:t>
      </w:r>
    </w:p>
    <w:p>
      <w:pPr>
        <w:pStyle w:val="FirstParagraph"/>
      </w:pPr>
      <w:r>
        <w:t xml:space="preserve">The durable value lies in consumables and workflow integration, not the initial instrument sale.</w:t>
      </w:r>
    </w:p>
    <w:bookmarkEnd w:id="14"/>
    <w:bookmarkStart w:id="15" w:name="X7574cfe9416b3587a6d8112e4f6f54d1db44ff9"/>
    <w:p>
      <w:pPr>
        <w:pStyle w:val="Heading3"/>
      </w:pPr>
      <w:r>
        <w:t xml:space="preserve">4. Fine-needle aspiration rollout</w:t>
      </w:r>
    </w:p>
    <w:p>
      <w:pPr>
        <w:pStyle w:val="FirstParagraph"/>
      </w:pPr>
      <w:r>
        <w:t xml:space="preserve">The fine-needle aspiration, or FNA, application is the most important near-term expansion of the inVue platform.</w:t>
      </w:r>
    </w:p>
    <w:p>
      <w:pPr>
        <w:pStyle w:val="BodyText"/>
      </w:pPr>
      <w:r>
        <w:t xml:space="preserve">Management said the controlled launch was progressing as planned, with broader access in Q2 and an unconstrained/full-volume posture expected in the second half. Customer feedback had been positive, and recurring revenue per analyzer was already within management’s target range before a full FNA rollout.</w:t>
      </w:r>
    </w:p>
    <w:p>
      <w:pPr>
        <w:pStyle w:val="BodyText"/>
      </w:pPr>
      <w:r>
        <w:t xml:space="preserve">Investors should listen for:</w:t>
      </w:r>
    </w:p>
    <w:p>
      <w:pPr>
        <w:pStyle w:val="Compact"/>
        <w:numPr>
          <w:ilvl w:val="0"/>
          <w:numId w:val="1006"/>
        </w:numPr>
      </w:pPr>
      <w:r>
        <w:t xml:space="preserve">The number or proportion of customers with FNA access;</w:t>
      </w:r>
    </w:p>
    <w:p>
      <w:pPr>
        <w:pStyle w:val="Compact"/>
        <w:numPr>
          <w:ilvl w:val="0"/>
          <w:numId w:val="1006"/>
        </w:numPr>
      </w:pPr>
      <w:r>
        <w:t xml:space="preserve">Test utilization per enabled clinic;</w:t>
      </w:r>
    </w:p>
    <w:p>
      <w:pPr>
        <w:pStyle w:val="Compact"/>
        <w:numPr>
          <w:ilvl w:val="0"/>
          <w:numId w:val="1006"/>
        </w:numPr>
      </w:pPr>
      <w:r>
        <w:t xml:space="preserve">Adoption of optional pathologist review;</w:t>
      </w:r>
    </w:p>
    <w:p>
      <w:pPr>
        <w:pStyle w:val="Compact"/>
        <w:numPr>
          <w:ilvl w:val="0"/>
          <w:numId w:val="1006"/>
        </w:numPr>
      </w:pPr>
      <w:r>
        <w:t xml:space="preserve">Training and onboarding capacity;</w:t>
      </w:r>
    </w:p>
    <w:p>
      <w:pPr>
        <w:pStyle w:val="Compact"/>
        <w:numPr>
          <w:ilvl w:val="0"/>
          <w:numId w:val="1006"/>
        </w:numPr>
      </w:pPr>
      <w:r>
        <w:t xml:space="preserve">Confirmation of the second-half full launch; and</w:t>
      </w:r>
    </w:p>
    <w:p>
      <w:pPr>
        <w:pStyle w:val="Compact"/>
        <w:numPr>
          <w:ilvl w:val="0"/>
          <w:numId w:val="1006"/>
        </w:numPr>
      </w:pPr>
      <w:r>
        <w:t xml:space="preserve">Any additional menu-expansion timeline.</w:t>
      </w:r>
    </w:p>
    <w:p>
      <w:pPr>
        <w:pStyle w:val="FirstParagraph"/>
      </w:pPr>
      <w:r>
        <w:t xml:space="preserve">A rollout delay would matter more than modest quarterly instrument-placement variability because FNA is central to the platform’s long-term utilization thesis.</w:t>
      </w:r>
    </w:p>
    <w:bookmarkEnd w:id="15"/>
    <w:bookmarkStart w:id="16" w:name="X71e6ec8f8a5d9137b5e87d004067a05d3765f87"/>
    <w:p>
      <w:pPr>
        <w:pStyle w:val="Heading3"/>
      </w:pPr>
      <w:r>
        <w:t xml:space="preserve">5. Cancer Dx adoption and reference-lab share gains</w:t>
      </w:r>
    </w:p>
    <w:p>
      <w:pPr>
        <w:pStyle w:val="FirstParagraph"/>
      </w:pPr>
      <w:r>
        <w:t xml:space="preserve">Cancer Dx is becoming a meaningful differentiator for IDEXX’s reference-laboratory business.</w:t>
      </w:r>
    </w:p>
    <w:p>
      <w:pPr>
        <w:pStyle w:val="BodyText"/>
      </w:pPr>
      <w:r>
        <w:t xml:space="preserve">At the end of Q1:</w:t>
      </w:r>
    </w:p>
    <w:p>
      <w:pPr>
        <w:pStyle w:val="Compact"/>
        <w:numPr>
          <w:ilvl w:val="0"/>
          <w:numId w:val="1007"/>
        </w:numPr>
      </w:pPr>
      <w:r>
        <w:t xml:space="preserve">More than</w:t>
      </w:r>
      <w:r>
        <w:t xml:space="preserve"> </w:t>
      </w:r>
      <w:r>
        <w:rPr>
          <w:b/>
          <w:bCs/>
        </w:rPr>
        <w:t xml:space="preserve">7,500 North American practices</w:t>
      </w:r>
      <w:r>
        <w:t xml:space="preserve"> </w:t>
      </w:r>
      <w:r>
        <w:t xml:space="preserve">had ordered the test;</w:t>
      </w:r>
    </w:p>
    <w:p>
      <w:pPr>
        <w:pStyle w:val="Compact"/>
        <w:numPr>
          <w:ilvl w:val="0"/>
          <w:numId w:val="1007"/>
        </w:numPr>
      </w:pPr>
      <w:r>
        <w:t xml:space="preserve">Nearly</w:t>
      </w:r>
      <w:r>
        <w:t xml:space="preserve"> </w:t>
      </w:r>
      <w:r>
        <w:rPr>
          <w:b/>
          <w:bCs/>
        </w:rPr>
        <w:t xml:space="preserve">70%</w:t>
      </w:r>
      <w:r>
        <w:t xml:space="preserve"> </w:t>
      </w:r>
      <w:r>
        <w:t xml:space="preserve">of tests were included in diagnostic panels;</w:t>
      </w:r>
    </w:p>
    <w:p>
      <w:pPr>
        <w:pStyle w:val="Compact"/>
        <w:numPr>
          <w:ilvl w:val="0"/>
          <w:numId w:val="1007"/>
        </w:numPr>
      </w:pPr>
      <w:r>
        <w:t xml:space="preserve">Approximately</w:t>
      </w:r>
      <w:r>
        <w:t xml:space="preserve"> </w:t>
      </w:r>
      <w:r>
        <w:rPr>
          <w:b/>
          <w:bCs/>
        </w:rPr>
        <w:t xml:space="preserve">20%</w:t>
      </w:r>
      <w:r>
        <w:t xml:space="preserve"> </w:t>
      </w:r>
      <w:r>
        <w:t xml:space="preserve">of customers were not previously primary IDEXX reference-lab accounts; and</w:t>
      </w:r>
    </w:p>
    <w:p>
      <w:pPr>
        <w:pStyle w:val="Compact"/>
        <w:numPr>
          <w:ilvl w:val="0"/>
          <w:numId w:val="1007"/>
        </w:numPr>
      </w:pPr>
      <w:r>
        <w:t xml:space="preserve">IDEXX had launched the lymphoma test in Europe and Australia.</w:t>
      </w:r>
    </w:p>
    <w:p>
      <w:pPr>
        <w:pStyle w:val="FirstParagraph"/>
      </w:pPr>
      <w:r>
        <w:t xml:space="preserve">The Q2 report should indicate whether Cancer Dx is generating sustained testing demand rather than primarily launch-related trial. Panel inclusion is particularly important because it can drive broader reference-lab utilization and improve customer retention.</w:t>
      </w:r>
    </w:p>
    <w:p>
      <w:pPr>
        <w:pStyle w:val="BodyText"/>
      </w:pPr>
      <w:r>
        <w:t xml:space="preserve">Management also previously planned to add mast-cell-tumor detection later in 2026 and a third cancer test by year-end. Confirmation of those timelines would reinforce the longer-term oncology opportunity.</w:t>
      </w:r>
    </w:p>
    <w:bookmarkEnd w:id="16"/>
    <w:bookmarkStart w:id="17" w:name="X3bf1270e4140fb733ea5d373d1e41b6f141b7be"/>
    <w:p>
      <w:pPr>
        <w:pStyle w:val="Heading3"/>
      </w:pPr>
      <w:r>
        <w:t xml:space="preserve">6. Margins and the quality of growth</w:t>
      </w:r>
    </w:p>
    <w:p>
      <w:pPr>
        <w:pStyle w:val="FirstParagraph"/>
      </w:pPr>
      <w:r>
        <w:t xml:space="preserve">Q1 gross margin expanded approximately</w:t>
      </w:r>
      <w:r>
        <w:t xml:space="preserve"> </w:t>
      </w:r>
      <w:r>
        <w:rPr>
          <w:b/>
          <w:bCs/>
        </w:rPr>
        <w:t xml:space="preserve">90 basis points</w:t>
      </w:r>
      <w:r>
        <w:t xml:space="preserve"> </w:t>
      </w:r>
      <w:r>
        <w:t xml:space="preserve">on a comparable basis, supported by:</w:t>
      </w:r>
    </w:p>
    <w:p>
      <w:pPr>
        <w:pStyle w:val="Compact"/>
        <w:numPr>
          <w:ilvl w:val="0"/>
          <w:numId w:val="1008"/>
        </w:numPr>
      </w:pPr>
      <w:r>
        <w:t xml:space="preserve">Strong VetLab consumables and reference-lab volume;</w:t>
      </w:r>
    </w:p>
    <w:p>
      <w:pPr>
        <w:pStyle w:val="Compact"/>
        <w:numPr>
          <w:ilvl w:val="0"/>
          <w:numId w:val="1008"/>
        </w:numPr>
      </w:pPr>
      <w:r>
        <w:t xml:space="preserve">Pricing;</w:t>
      </w:r>
    </w:p>
    <w:p>
      <w:pPr>
        <w:pStyle w:val="Compact"/>
        <w:numPr>
          <w:ilvl w:val="0"/>
          <w:numId w:val="1008"/>
        </w:numPr>
      </w:pPr>
      <w:r>
        <w:t xml:space="preserve">Operational productivity; and</w:t>
      </w:r>
    </w:p>
    <w:p>
      <w:pPr>
        <w:pStyle w:val="Compact"/>
        <w:numPr>
          <w:ilvl w:val="0"/>
          <w:numId w:val="1008"/>
        </w:numPr>
      </w:pPr>
      <w:r>
        <w:t xml:space="preserve">Favorable recurring-revenue mix.</w:t>
      </w:r>
    </w:p>
    <w:p>
      <w:pPr>
        <w:pStyle w:val="FirstParagraph"/>
      </w:pPr>
      <w:r>
        <w:t xml:space="preserve">Q2 operating-margin guidance of</w:t>
      </w:r>
      <w:r>
        <w:t xml:space="preserve"> </w:t>
      </w:r>
      <w:r>
        <w:rPr>
          <w:b/>
          <w:bCs/>
        </w:rPr>
        <w:t xml:space="preserve">33.9%–34.3%</w:t>
      </w:r>
      <w:r>
        <w:t xml:space="preserve"> </w:t>
      </w:r>
      <w:r>
        <w:t xml:space="preserve">incorporates higher project spending. Capital-instrument revenue is expected to decline, which should create a more favorable revenue mix, but management continues to invest in commercial capacity, R&amp;D, software, and AI.</w:t>
      </w:r>
    </w:p>
    <w:p>
      <w:pPr>
        <w:pStyle w:val="BodyText"/>
      </w:pPr>
      <w:r>
        <w:t xml:space="preserve">A high-quality result would combine:</w:t>
      </w:r>
    </w:p>
    <w:p>
      <w:pPr>
        <w:pStyle w:val="Compact"/>
        <w:numPr>
          <w:ilvl w:val="0"/>
          <w:numId w:val="1009"/>
        </w:numPr>
      </w:pPr>
      <w:r>
        <w:t xml:space="preserve">Recurring growth near 10%;</w:t>
      </w:r>
    </w:p>
    <w:p>
      <w:pPr>
        <w:pStyle w:val="Compact"/>
        <w:numPr>
          <w:ilvl w:val="0"/>
          <w:numId w:val="1009"/>
        </w:numPr>
      </w:pPr>
      <w:r>
        <w:t xml:space="preserve">Gross-margin expansion;</w:t>
      </w:r>
    </w:p>
    <w:p>
      <w:pPr>
        <w:pStyle w:val="Compact"/>
        <w:numPr>
          <w:ilvl w:val="0"/>
          <w:numId w:val="1009"/>
        </w:numPr>
      </w:pPr>
      <w:r>
        <w:t xml:space="preserve">Operating margin at least in the upper half of guidance; and</w:t>
      </w:r>
    </w:p>
    <w:p>
      <w:pPr>
        <w:pStyle w:val="Compact"/>
        <w:numPr>
          <w:ilvl w:val="0"/>
          <w:numId w:val="1009"/>
        </w:numPr>
      </w:pPr>
      <w:r>
        <w:t xml:space="preserve">No reduction in strategic investment.</w:t>
      </w:r>
    </w:p>
    <w:p>
      <w:pPr>
        <w:pStyle w:val="FirstParagraph"/>
      </w:pPr>
      <w:r>
        <w:t xml:space="preserve">Margin upside created primarily by delayed spending would be less valuable than upside driven by consumables, reference-lab volumes, and productivity.</w:t>
      </w:r>
    </w:p>
    <w:p>
      <w:r>
        <w:pict>
          <v:rect style="width:0;height:1.5pt" o:hralign="center" o:hrstd="t" o:hr="t"/>
        </w:pict>
      </w:r>
    </w:p>
    <w:bookmarkEnd w:id="17"/>
    <w:bookmarkEnd w:id="18"/>
    <w:bookmarkStart w:id="19" w:name="new-ceo-and-capital-allocation"/>
    <w:p>
      <w:pPr>
        <w:pStyle w:val="Heading2"/>
      </w:pPr>
      <w:r>
        <w:t xml:space="preserve">New CEO and capital allocation</w:t>
      </w:r>
    </w:p>
    <w:p>
      <w:pPr>
        <w:pStyle w:val="FirstParagraph"/>
      </w:pPr>
      <w:r>
        <w:t xml:space="preserve">This will be</w:t>
      </w:r>
      <w:r>
        <w:t xml:space="preserve"> </w:t>
      </w:r>
      <w:r>
        <w:rPr>
          <w:b/>
          <w:bCs/>
        </w:rPr>
        <w:t xml:space="preserve">Mike Erickson’s first quarterly call as CEO</w:t>
      </w:r>
      <w:r>
        <w:t xml:space="preserve"> </w:t>
      </w:r>
      <w:r>
        <w:t xml:space="preserve">following Jay Mazelsky’s transition to executive chair in May.</w:t>
      </w:r>
    </w:p>
    <w:p>
      <w:pPr>
        <w:pStyle w:val="BodyText"/>
      </w:pPr>
      <w:r>
        <w:t xml:space="preserve">The leadership transition appears evolutionary rather than a strategic reset. Erickson has emphasized diagnostics, software, commercial expansion, and AI. Still, investors will want evidence that execution remains stable and that management’s capital-allocation framework is unchanged.</w:t>
      </w:r>
    </w:p>
    <w:p>
      <w:pPr>
        <w:pStyle w:val="BodyText"/>
      </w:pPr>
      <w:r>
        <w:t xml:space="preserve">IDEXX repurchased approximately</w:t>
      </w:r>
      <w:r>
        <w:t xml:space="preserve"> </w:t>
      </w:r>
      <m:oMath>
        <m:r>
          <m:t>361</m:t>
        </m:r>
        <m:r>
          <m:t>m</m:t>
        </m:r>
        <m:r>
          <m:t>i</m:t>
        </m:r>
        <m:r>
          <m:t>l</m:t>
        </m:r>
        <m:r>
          <m:t>l</m:t>
        </m:r>
        <m:r>
          <m:t>i</m:t>
        </m:r>
        <m:r>
          <m:t>o</m:t>
        </m:r>
        <m:r>
          <m:t>n</m:t>
        </m:r>
        <m:r>
          <m:rPr>
            <m:sty m:val="p"/>
          </m:rPr>
          <m:t>*</m:t>
        </m:r>
        <m:r>
          <m:rPr>
            <m:sty m:val="p"/>
          </m:rPr>
          <m:t>*</m:t>
        </m:r>
        <m:r>
          <m:t>o</m:t>
        </m:r>
        <m:r>
          <m:t>f</m:t>
        </m:r>
        <m:r>
          <m:t>s</m:t>
        </m:r>
        <m:r>
          <m:t>t</m:t>
        </m:r>
        <m:r>
          <m:t>o</m:t>
        </m:r>
        <m:r>
          <m:t>c</m:t>
        </m:r>
        <m:r>
          <m:t>k</m:t>
        </m:r>
        <m:r>
          <m:t>d</m:t>
        </m:r>
        <m:r>
          <m:t>u</m:t>
        </m:r>
        <m:r>
          <m:t>r</m:t>
        </m:r>
        <m:r>
          <m:t>i</m:t>
        </m:r>
        <m:r>
          <m:t>n</m:t>
        </m:r>
        <m:r>
          <m:t>g</m:t>
        </m:r>
        <m:r>
          <m:t>Q</m:t>
        </m:r>
        <m:r>
          <m:t>1</m:t>
        </m:r>
        <m:r>
          <m:rPr>
            <m:sty m:val="p"/>
          </m:rPr>
          <m:t>,</m:t>
        </m:r>
        <m:r>
          <m:t>a</m:t>
        </m:r>
        <m:r>
          <m:t>t</m:t>
        </m:r>
        <m:r>
          <m:t>a</m:t>
        </m:r>
        <m:r>
          <m:t>n</m:t>
        </m:r>
        <m:r>
          <m:t>a</m:t>
        </m:r>
        <m:r>
          <m:t>v</m:t>
        </m:r>
        <m:r>
          <m:t>e</m:t>
        </m:r>
        <m:r>
          <m:t>r</m:t>
        </m:r>
        <m:r>
          <m:t>a</m:t>
        </m:r>
        <m:r>
          <m:t>g</m:t>
        </m:r>
        <m:r>
          <m:t>e</m:t>
        </m:r>
        <m:r>
          <m:t>o</m:t>
        </m:r>
        <m:r>
          <m:t>p</m:t>
        </m:r>
        <m:r>
          <m:t>e</m:t>
        </m:r>
        <m:r>
          <m:t>n</m:t>
        </m:r>
        <m:r>
          <m:rPr>
            <m:sty m:val="p"/>
          </m:rPr>
          <m:t>−</m:t>
        </m:r>
        <m:r>
          <m:t>m</m:t>
        </m:r>
        <m:r>
          <m:t>a</m:t>
        </m:r>
        <m:r>
          <m:t>r</m:t>
        </m:r>
        <m:r>
          <m:t>k</m:t>
        </m:r>
        <m:r>
          <m:t>e</m:t>
        </m:r>
        <m:r>
          <m:t>t</m:t>
        </m:r>
        <m:r>
          <m:t>p</m:t>
        </m:r>
        <m:r>
          <m:t>r</m:t>
        </m:r>
        <m:r>
          <m:t>i</m:t>
        </m:r>
        <m:r>
          <m:t>c</m:t>
        </m:r>
        <m:r>
          <m:t>e</m:t>
        </m:r>
        <m:r>
          <m:t>a</m:t>
        </m:r>
        <m:r>
          <m:t>r</m:t>
        </m:r>
        <m:r>
          <m:t>o</m:t>
        </m:r>
        <m:r>
          <m:t>u</m:t>
        </m:r>
        <m:r>
          <m:t>n</m:t>
        </m:r>
        <m:r>
          <m:t>d</m:t>
        </m:r>
        <m:r>
          <m:rPr>
            <m:sty m:val="p"/>
          </m:rPr>
          <m:t>*</m:t>
        </m:r>
        <m:r>
          <m:rPr>
            <m:sty m:val="p"/>
          </m:rPr>
          <m:t>*</m:t>
        </m:r>
      </m:oMath>
      <w:r>
        <w:rPr>
          <w:b/>
          <w:bCs/>
        </w:rPr>
        <w:t xml:space="preserve">614 per share</w:t>
      </w:r>
      <w:r>
        <w:t xml:space="preserve">. The latest available share price is below that level. Balance-sheet leverage remains modest at approximately</w:t>
      </w:r>
      <w:r>
        <w:t xml:space="preserve"> </w:t>
      </w:r>
      <w:r>
        <w:rPr>
          <w:b/>
          <w:bCs/>
        </w:rPr>
        <w:t xml:space="preserve">0.5x net debt to adjusted EBITDA</w:t>
      </w:r>
      <w:r>
        <w:t xml:space="preserve">, giving the company flexibility to continue repurchases and investment.</w:t>
      </w:r>
    </w:p>
    <w:p>
      <w:pPr>
        <w:pStyle w:val="BodyText"/>
      </w:pPr>
      <w:r>
        <w:t xml:space="preserve">The more important issue is whether management can maintain investment while delivering the promised margin expansion—not whether it can produce a one-quarter EPS beat through spending or buyback timing.</w:t>
      </w:r>
    </w:p>
    <w:p>
      <w:r>
        <w:pict>
          <v:rect style="width:0;height:1.5pt" o:hralign="center" o:hrstd="t" o:hr="t"/>
        </w:pict>
      </w:r>
    </w:p>
    <w:bookmarkEnd w:id="19"/>
    <w:bookmarkStart w:id="23" w:name="possible-outcomes"/>
    <w:p>
      <w:pPr>
        <w:pStyle w:val="Heading2"/>
      </w:pPr>
      <w:r>
        <w:t xml:space="preserve">Possible outcomes</w:t>
      </w:r>
    </w:p>
    <w:bookmarkStart w:id="20" w:name="bull-case"/>
    <w:p>
      <w:pPr>
        <w:pStyle w:val="Heading3"/>
      </w:pPr>
      <w:r>
        <w:t xml:space="preserve">Bull case</w:t>
      </w:r>
    </w:p>
    <w:p>
      <w:pPr>
        <w:pStyle w:val="Compact"/>
        <w:numPr>
          <w:ilvl w:val="0"/>
          <w:numId w:val="1010"/>
        </w:numPr>
      </w:pPr>
      <w:r>
        <w:t xml:space="preserve">CAG recurring organic growth exceeds</w:t>
      </w:r>
      <w:r>
        <w:t xml:space="preserve"> </w:t>
      </w:r>
      <w:r>
        <w:rPr>
          <w:b/>
          <w:bCs/>
        </w:rPr>
        <w:t xml:space="preserve">10.5%</w:t>
      </w:r>
      <w:r>
        <w:t xml:space="preserve">;</w:t>
      </w:r>
    </w:p>
    <w:p>
      <w:pPr>
        <w:pStyle w:val="Compact"/>
        <w:numPr>
          <w:ilvl w:val="0"/>
          <w:numId w:val="1010"/>
        </w:numPr>
      </w:pPr>
      <w:r>
        <w:t xml:space="preserve">Clinical visits are no worse than approximately -1%;</w:t>
      </w:r>
    </w:p>
    <w:p>
      <w:pPr>
        <w:pStyle w:val="Compact"/>
        <w:numPr>
          <w:ilvl w:val="0"/>
          <w:numId w:val="1010"/>
        </w:numPr>
      </w:pPr>
      <w:r>
        <w:t xml:space="preserve">VetLab consumables remain in the low-to-mid teens;</w:t>
      </w:r>
    </w:p>
    <w:p>
      <w:pPr>
        <w:pStyle w:val="Compact"/>
        <w:numPr>
          <w:ilvl w:val="0"/>
          <w:numId w:val="1010"/>
        </w:numPr>
      </w:pPr>
      <w:r>
        <w:t xml:space="preserve">Reference-lab growth remains near double digits;</w:t>
      </w:r>
    </w:p>
    <w:p>
      <w:pPr>
        <w:pStyle w:val="Compact"/>
        <w:numPr>
          <w:ilvl w:val="0"/>
          <w:numId w:val="1010"/>
        </w:numPr>
      </w:pPr>
      <w:r>
        <w:t xml:space="preserve">inVue’s 5,500-placement target is reiterated;</w:t>
      </w:r>
    </w:p>
    <w:p>
      <w:pPr>
        <w:pStyle w:val="Compact"/>
        <w:numPr>
          <w:ilvl w:val="0"/>
          <w:numId w:val="1010"/>
        </w:numPr>
      </w:pPr>
      <w:r>
        <w:t xml:space="preserve">FNA moves toward an unconstrained launch;</w:t>
      </w:r>
    </w:p>
    <w:p>
      <w:pPr>
        <w:pStyle w:val="Compact"/>
        <w:numPr>
          <w:ilvl w:val="0"/>
          <w:numId w:val="1010"/>
        </w:numPr>
      </w:pPr>
      <w:r>
        <w:t xml:space="preserve">Operating margin reaches or exceeds the high end; and</w:t>
      </w:r>
    </w:p>
    <w:p>
      <w:pPr>
        <w:pStyle w:val="Compact"/>
        <w:numPr>
          <w:ilvl w:val="0"/>
          <w:numId w:val="1010"/>
        </w:numPr>
      </w:pPr>
      <w:r>
        <w:t xml:space="preserve">Full-year revenue, recurring-growth, or EPS guidance is raised.</w:t>
      </w:r>
    </w:p>
    <w:p>
      <w:pPr>
        <w:pStyle w:val="FirstParagraph"/>
      </w:pPr>
      <w:r>
        <w:t xml:space="preserve">This would reinforce the view that IDEXX’s innovation and commercial execution can offset weak veterinary traffic.</w:t>
      </w:r>
    </w:p>
    <w:bookmarkEnd w:id="20"/>
    <w:bookmarkStart w:id="21" w:name="base-case"/>
    <w:p>
      <w:pPr>
        <w:pStyle w:val="Heading3"/>
      </w:pPr>
      <w:r>
        <w:t xml:space="preserve">Base case</w:t>
      </w:r>
    </w:p>
    <w:p>
      <w:pPr>
        <w:pStyle w:val="Compact"/>
        <w:numPr>
          <w:ilvl w:val="0"/>
          <w:numId w:val="1011"/>
        </w:numPr>
      </w:pPr>
      <w:r>
        <w:t xml:space="preserve">Revenue and recurring growth land near the midpoint;</w:t>
      </w:r>
    </w:p>
    <w:p>
      <w:pPr>
        <w:pStyle w:val="Compact"/>
        <w:numPr>
          <w:ilvl w:val="0"/>
          <w:numId w:val="1011"/>
        </w:numPr>
      </w:pPr>
      <w:r>
        <w:t xml:space="preserve">Visits remain around -1.5%;</w:t>
      </w:r>
    </w:p>
    <w:p>
      <w:pPr>
        <w:pStyle w:val="Compact"/>
        <w:numPr>
          <w:ilvl w:val="0"/>
          <w:numId w:val="1011"/>
        </w:numPr>
      </w:pPr>
      <w:r>
        <w:t xml:space="preserve">inVue and FNA timelines are maintained;</w:t>
      </w:r>
    </w:p>
    <w:p>
      <w:pPr>
        <w:pStyle w:val="Compact"/>
        <w:numPr>
          <w:ilvl w:val="0"/>
          <w:numId w:val="1011"/>
        </w:numPr>
      </w:pPr>
      <w:r>
        <w:t xml:space="preserve">Margins are within guidance; and</w:t>
      </w:r>
    </w:p>
    <w:p>
      <w:pPr>
        <w:pStyle w:val="Compact"/>
        <w:numPr>
          <w:ilvl w:val="0"/>
          <w:numId w:val="1011"/>
        </w:numPr>
      </w:pPr>
      <w:r>
        <w:t xml:space="preserve">Full-year guidance is reiterated, perhaps with modest narrowing.</w:t>
      </w:r>
    </w:p>
    <w:p>
      <w:pPr>
        <w:pStyle w:val="FirstParagraph"/>
      </w:pPr>
      <w:r>
        <w:t xml:space="preserve">Fundamentally, this would be a good result. The stock reaction could nevertheless be restrained because the valuation still requires above-average execution.</w:t>
      </w:r>
    </w:p>
    <w:bookmarkEnd w:id="21"/>
    <w:bookmarkStart w:id="22" w:name="bear-case"/>
    <w:p>
      <w:pPr>
        <w:pStyle w:val="Heading3"/>
      </w:pPr>
      <w:r>
        <w:t xml:space="preserve">Bear case</w:t>
      </w:r>
    </w:p>
    <w:p>
      <w:pPr>
        <w:pStyle w:val="Compact"/>
        <w:numPr>
          <w:ilvl w:val="0"/>
          <w:numId w:val="1012"/>
        </w:numPr>
      </w:pPr>
      <w:r>
        <w:t xml:space="preserve">CAG recurring organic growth falls below</w:t>
      </w:r>
      <w:r>
        <w:t xml:space="preserve"> </w:t>
      </w:r>
      <w:r>
        <w:rPr>
          <w:b/>
          <w:bCs/>
        </w:rPr>
        <w:t xml:space="preserve">8.5%</w:t>
      </w:r>
      <w:r>
        <w:t xml:space="preserve">;</w:t>
      </w:r>
    </w:p>
    <w:p>
      <w:pPr>
        <w:pStyle w:val="Compact"/>
        <w:numPr>
          <w:ilvl w:val="0"/>
          <w:numId w:val="1012"/>
        </w:numPr>
      </w:pPr>
      <w:r>
        <w:t xml:space="preserve">U.S. visits weaken beyond -2% without an offset from testing intensity;</w:t>
      </w:r>
    </w:p>
    <w:p>
      <w:pPr>
        <w:pStyle w:val="Compact"/>
        <w:numPr>
          <w:ilvl w:val="0"/>
          <w:numId w:val="1012"/>
        </w:numPr>
      </w:pPr>
      <w:r>
        <w:t xml:space="preserve">Consumables growth decelerates sharply;</w:t>
      </w:r>
    </w:p>
    <w:p>
      <w:pPr>
        <w:pStyle w:val="Compact"/>
        <w:numPr>
          <w:ilvl w:val="0"/>
          <w:numId w:val="1012"/>
        </w:numPr>
      </w:pPr>
      <w:r>
        <w:t xml:space="preserve">Reference-lab customer gains slow;</w:t>
      </w:r>
    </w:p>
    <w:p>
      <w:pPr>
        <w:pStyle w:val="Compact"/>
        <w:numPr>
          <w:ilvl w:val="0"/>
          <w:numId w:val="1012"/>
        </w:numPr>
      </w:pPr>
      <w:r>
        <w:t xml:space="preserve">inVue placement or FNA rollout targets are reduced;</w:t>
      </w:r>
    </w:p>
    <w:p>
      <w:pPr>
        <w:pStyle w:val="Compact"/>
        <w:numPr>
          <w:ilvl w:val="0"/>
          <w:numId w:val="1012"/>
        </w:numPr>
      </w:pPr>
      <w:r>
        <w:t xml:space="preserve">Margin falls below guidance; or</w:t>
      </w:r>
    </w:p>
    <w:p>
      <w:pPr>
        <w:pStyle w:val="Compact"/>
        <w:numPr>
          <w:ilvl w:val="0"/>
          <w:numId w:val="1012"/>
        </w:numPr>
      </w:pPr>
      <w:r>
        <w:t xml:space="preserve">Full-year recurring-growth guidance is cut.</w:t>
      </w:r>
    </w:p>
    <w:p>
      <w:pPr>
        <w:pStyle w:val="FirstParagraph"/>
      </w:pPr>
      <w:r>
        <w:t xml:space="preserve">The largest valuation risk is evidence that Q1’s exceptionally wide gap between diagnostics growth and clinic traffic cannot be sustained.</w:t>
      </w:r>
    </w:p>
    <w:p>
      <w:r>
        <w:pict>
          <v:rect style="width:0;height:1.5pt" o:hralign="center" o:hrstd="t" o:hr="t"/>
        </w:pict>
      </w:r>
    </w:p>
    <w:bookmarkEnd w:id="22"/>
    <w:bookmarkEnd w:id="23"/>
    <w:bookmarkStart w:id="24" w:name="questions-for-management"/>
    <w:p>
      <w:pPr>
        <w:pStyle w:val="Heading2"/>
      </w:pPr>
      <w:r>
        <w:t xml:space="preserve">Questions for management</w:t>
      </w:r>
    </w:p>
    <w:p>
      <w:pPr>
        <w:pStyle w:val="Compact"/>
        <w:numPr>
          <w:ilvl w:val="0"/>
          <w:numId w:val="1013"/>
        </w:numPr>
      </w:pPr>
      <w:r>
        <w:t xml:space="preserve">How did U.S. visit trends progress during Q2, particularly wellness versus non-well visits?</w:t>
      </w:r>
    </w:p>
    <w:p>
      <w:pPr>
        <w:pStyle w:val="Compact"/>
        <w:numPr>
          <w:ilvl w:val="0"/>
          <w:numId w:val="1013"/>
        </w:numPr>
      </w:pPr>
      <w:r>
        <w:t xml:space="preserve">How much of recurring growth came from price, new customers, and same-store utilization?</w:t>
      </w:r>
    </w:p>
    <w:p>
      <w:pPr>
        <w:pStyle w:val="Compact"/>
        <w:numPr>
          <w:ilvl w:val="0"/>
          <w:numId w:val="1013"/>
        </w:numPr>
      </w:pPr>
      <w:r>
        <w:t xml:space="preserve">Is the full-year target of 5,500 inVue placements still intact?</w:t>
      </w:r>
    </w:p>
    <w:p>
      <w:pPr>
        <w:pStyle w:val="Compact"/>
        <w:numPr>
          <w:ilvl w:val="0"/>
          <w:numId w:val="1013"/>
        </w:numPr>
      </w:pPr>
      <w:r>
        <w:t xml:space="preserve">How many customers now have access to FNA, and how is utilization tracking?</w:t>
      </w:r>
    </w:p>
    <w:p>
      <w:pPr>
        <w:pStyle w:val="Compact"/>
        <w:numPr>
          <w:ilvl w:val="0"/>
          <w:numId w:val="1013"/>
        </w:numPr>
      </w:pPr>
      <w:r>
        <w:t xml:space="preserve">Is inVue recurring revenue per analyzer moving higher as FNA broadens?</w:t>
      </w:r>
    </w:p>
    <w:p>
      <w:pPr>
        <w:pStyle w:val="Compact"/>
        <w:numPr>
          <w:ilvl w:val="0"/>
          <w:numId w:val="1013"/>
        </w:numPr>
      </w:pPr>
      <w:r>
        <w:t xml:space="preserve">Is Cancer Dx driving measurable reference-lab conversions and share gains?</w:t>
      </w:r>
    </w:p>
    <w:p>
      <w:pPr>
        <w:pStyle w:val="Compact"/>
        <w:numPr>
          <w:ilvl w:val="0"/>
          <w:numId w:val="1013"/>
        </w:numPr>
      </w:pPr>
      <w:r>
        <w:t xml:space="preserve">What drove international recurring growth, and is double-digit growth sustainable?</w:t>
      </w:r>
    </w:p>
    <w:p>
      <w:pPr>
        <w:pStyle w:val="Compact"/>
        <w:numPr>
          <w:ilvl w:val="0"/>
          <w:numId w:val="1013"/>
        </w:numPr>
      </w:pPr>
      <w:r>
        <w:t xml:space="preserve">Does management still expect a third Cancer Dx test by year-end?</w:t>
      </w:r>
    </w:p>
    <w:p>
      <w:pPr>
        <w:pStyle w:val="Compact"/>
        <w:numPr>
          <w:ilvl w:val="0"/>
          <w:numId w:val="1013"/>
        </w:numPr>
      </w:pPr>
      <w:r>
        <w:t xml:space="preserve">How should investors think about second-half commercial and AI spending?</w:t>
      </w:r>
    </w:p>
    <w:p>
      <w:pPr>
        <w:pStyle w:val="Compact"/>
        <w:numPr>
          <w:ilvl w:val="0"/>
          <w:numId w:val="1013"/>
        </w:numPr>
      </w:pPr>
      <w:r>
        <w:t xml:space="preserve">Is the full-year clinical-visit assumption of -1.5% still appropriate?</w:t>
      </w:r>
    </w:p>
    <w:bookmarkEnd w:id="24"/>
    <w:bookmarkStart w:id="25" w:name="bottom-line"/>
    <w:p>
      <w:pPr>
        <w:pStyle w:val="Heading2"/>
      </w:pPr>
      <w:r>
        <w:t xml:space="preserve">Bottom line</w:t>
      </w:r>
    </w:p>
    <w:p>
      <w:pPr>
        <w:pStyle w:val="FirstParagraph"/>
      </w:pPr>
      <w:r>
        <w:t xml:space="preserve">The most important figure in the report is</w:t>
      </w:r>
      <w:r>
        <w:t xml:space="preserve"> </w:t>
      </w:r>
      <w:r>
        <w:rPr>
          <w:b/>
          <w:bCs/>
        </w:rPr>
        <w:t xml:space="preserve">CAG Diagnostics recurring organic revenue growth</w:t>
      </w:r>
      <w:r>
        <w:t xml:space="preserve">, not total revenue or quarterly EPS. A clean quarter would show roughly 9%–10% recurring growth despite negative clinic traffic, continued double-digit consumables performance, steady reference-lab momentum, and no change to the inVue/FNA roadmap.</w:t>
      </w:r>
    </w:p>
    <w:p>
      <w:pPr>
        <w:pStyle w:val="BodyText"/>
      </w:pPr>
      <w:r>
        <w:t xml:space="preserve">For the stock to respond strongly, IDEXX likely needs more than an in-line quarter. The clearest positive setup would be recurring growth near or above the top of guidance plus evidence that FNA, Cancer Dx, and international expansion can support the second half. Conversely, weak traffic alone may be manageable; weak traffic accompanied by lower diagnostic utilization would be the more serious warning sign.</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2026-08-04T00:47:10Z</dcterms:created>
  <dcterms:modified xsi:type="dcterms:W3CDTF">2026-08-04T00:47:10Z</dcterms:modified>
</cp:coreProperties>
</file>

<file path=docProps/custom.xml><?xml version="1.0" encoding="utf-8"?>
<Properties xmlns="http://schemas.openxmlformats.org/officeDocument/2006/custom-properties" xmlns:vt="http://schemas.openxmlformats.org/officeDocument/2006/docPropsVTypes"/>
</file>