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idxx-earnings-predictions--2026-08-04"/>
    <w:p>
      <w:pPr>
        <w:pStyle w:val="Heading1"/>
      </w:pPr>
      <w:r>
        <w:t xml:space="preserve">IDXX Earnings Predictions — 2026-08-04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Q2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</w:t>
            </w:r>
            <m:oMath>
              <m:r>
                <m:t>1.216</m:t>
              </m:r>
              <m:r>
                <m:t>B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1.202B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Q2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</w:t>
            </w:r>
            <m:oMath>
              <m:r>
                <m:t>3.28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3.21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CAG Diagnostics recurring organic revenue growth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~10.2% vs. cons ~9.8%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revenue guidance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4.70</m:t>
              </m:r>
              <m:r>
                <m:t>B</m:t>
              </m:r>
              <m:r>
                <m:rPr>
                  <m:sty m:val="p"/>
                </m:rPr>
                <m:t>−</m:t>
              </m:r>
            </m:oMath>
            <w:r>
              <w:t xml:space="preserve">4.79B vs. cons ~$4.75B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EPS guidance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14.60</m:t>
              </m:r>
              <m:r>
                <m:rPr>
                  <m:sty m:val="p"/>
                </m:rPr>
                <m:t>−</m:t>
              </m:r>
            </m:oMath>
            <w:r>
              <w:t xml:space="preserve">15.05 vs. cons ~$14.88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CAG Diagnostics recurring organic growth guidance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~9.0%-11.0% vs. cons ~9.8%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U.S. same-store clinical-visit assumption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~-1.5% vs. cons ~-1.5%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+4.5%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IDXX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+6.0% (FOLLOW-THROUGH)</w:t>
            </w:r>
          </w:p>
        </w:tc>
        <w:tc>
          <w:tcPr/>
          <w:p>
            <w:pPr>
              <w:pStyle w:val="Compact"/>
            </w:pPr>
            <w:r>
              <w:t xml:space="preserve">A ~</w:t>
            </w:r>
            <m:oMath>
              <m:r>
                <m:t>0.07</m:t>
              </m:r>
              <m:r>
                <m:t>E</m:t>
              </m:r>
              <m:r>
                <m:t>P</m:t>
              </m:r>
              <m:r>
                <m:t>S</m:t>
              </m:r>
              <m:r>
                <m:t>b</m:t>
              </m:r>
              <m:r>
                <m:t>e</m:t>
              </m:r>
              <m:r>
                <m:t>a</m:t>
              </m:r>
              <m:r>
                <m:t>t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3.21 consensus alongside a FY2026 EPS midpoint of ~</w:t>
            </w:r>
            <m:oMath>
              <m:r>
                <m:t>14.83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14.88 consensus initially supports upward revisions if recurring growth holds near ~10.2% versus ~9.8% consensus; the modest guide raise and durable volume/innovation mix should outweigh the instrument-revenue lap.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2026-08-04T00:46:22Z</dcterms:created>
  <dcterms:modified xsi:type="dcterms:W3CDTF">2026-08-04T00:46:22Z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