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532bbb08a3d82ca0d112244f03422ce9aa8960"/>
    <w:p>
      <w:pPr>
        <w:pStyle w:val="Heading1"/>
      </w:pPr>
      <w:r>
        <w:t xml:space="preserve">IDEXX Laboratories (IDXX) — 2026 Q2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August 4, 2026</w:t>
      </w:r>
      <w:r>
        <w:t xml:space="preserve">. The event date provided—</w:t>
      </w:r>
      <w:r>
        <w:rPr>
          <w:b/>
          <w:bCs/>
        </w:rPr>
        <w:t xml:space="preserve">August 4, 2026</w:t>
      </w:r>
      <w:r>
        <w:t xml:space="preserve">—is therefore</w:t>
      </w:r>
      <w:r>
        <w:t xml:space="preserve"> </w:t>
      </w:r>
      <w:r>
        <w:rPr>
          <w:b/>
          <w:bCs/>
        </w:rPr>
        <w:t xml:space="preserve">today, not tomorrow</w:t>
      </w:r>
      <w:r>
        <w:t xml:space="preserve">. This preview treats the 2026Q2 release/call as still pending.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IDEXX enters Q2 with a favorable setup operationally, but a more nuanced setup for the stock. The core question is not simply whether it beats quarterly estimates: it is whether management can demonstrate that</w:t>
      </w:r>
      <w:r>
        <w:t xml:space="preserve"> </w:t>
      </w:r>
      <w:r>
        <w:rPr>
          <w:b/>
          <w:bCs/>
        </w:rPr>
        <w:t xml:space="preserve">double-digit CAG Diagnostics recurring-revenue momentum is durable</w:t>
      </w:r>
      <w:r>
        <w:t xml:space="preserve"> </w:t>
      </w:r>
      <w:r>
        <w:t xml:space="preserve">despite still-negative U.S. clinical-visit trends and a planned year-over-year decline in instrument revenue as the company laps the unusually strong early inVue Dx rollout.</w:t>
      </w:r>
    </w:p>
    <w:p>
      <w:pPr>
        <w:pStyle w:val="BodyText"/>
      </w:pPr>
      <w:r>
        <w:t xml:space="preserve">The key positive is that IDEXX’s Q1 performance was broad-based and volume-led: CAG Diagnostics recurring revenue grew</w:t>
      </w:r>
      <w:r>
        <w:t xml:space="preserve"> </w:t>
      </w:r>
      <w:r>
        <w:rPr>
          <w:b/>
          <w:bCs/>
        </w:rPr>
        <w:t xml:space="preserve">11% organically</w:t>
      </w:r>
      <w:r>
        <w:t xml:space="preserve">, powered by utilization, customer gains, international execution, premium-instrument installed-base growth, and innovation. Management raised full-year revenue and EPS guidance in May. For Q2, however, it explicitly guided to a deceleration in company organic growth due to fewer equivalent selling days and difficult instrument comparisons—so investors should focus more heavily on</w:t>
      </w:r>
      <w:r>
        <w:t xml:space="preserve"> </w:t>
      </w:r>
      <w:r>
        <w:rPr>
          <w:b/>
          <w:bCs/>
        </w:rPr>
        <w:t xml:space="preserve">recurring growth, utilization, margins, and the full-year outlook</w:t>
      </w:r>
      <w:r>
        <w:t xml:space="preserve"> </w:t>
      </w:r>
      <w:r>
        <w:t xml:space="preserve">than on the headline growth rate alone.</w:t>
      </w:r>
    </w:p>
    <w:bookmarkEnd w:id="9"/>
    <w:bookmarkStart w:id="10" w:name="what-management-has-guided-for-q2"/>
    <w:p>
      <w:pPr>
        <w:pStyle w:val="Heading2"/>
      </w:pPr>
      <w:r>
        <w:t xml:space="preserve">What management has guided for Q2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Investor read-through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reported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7.3%–9.3%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10.6%</w:t>
            </w:r>
          </w:p>
        </w:tc>
        <w:tc>
          <w:tcPr/>
          <w:p>
            <w:pPr>
              <w:pStyle w:val="Compact"/>
            </w:pPr>
            <w:r>
              <w:t xml:space="preserve">Implies roughly</w:t>
            </w:r>
            <w:r>
              <w:t xml:space="preserve"> </w:t>
            </w:r>
            <m:oMath>
              <m:r>
                <m:t>1.19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1.21B</w:t>
            </w:r>
            <w:r>
              <w:t xml:space="preserve"> </w:t>
            </w:r>
            <w:r>
              <w:t xml:space="preserve">of revenue, based on Q2’25 revenue of $1.109B.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6.7%–8.7%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9.3%</w:t>
            </w:r>
          </w:p>
        </w:tc>
        <w:tc>
          <w:tcPr/>
          <w:p>
            <w:pPr>
              <w:pStyle w:val="Compact"/>
            </w:pPr>
            <w:r>
              <w:t xml:space="preserve">Includes an estimated</w:t>
            </w:r>
            <w:r>
              <w:t xml:space="preserve"> </w:t>
            </w:r>
            <w:r>
              <w:rPr>
                <w:b/>
                <w:bCs/>
              </w:rPr>
              <w:t xml:space="preserve">50 bps headwind from equivalent days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CAG Diagnostics recurring organic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8.5%–10.5%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7.4%</w:t>
            </w:r>
          </w:p>
        </w:tc>
        <w:tc>
          <w:tcPr/>
          <w:p>
            <w:pPr>
              <w:pStyle w:val="Compact"/>
            </w:pPr>
            <w:r>
              <w:t xml:space="preserve">The most important operating KPI; guidance implies a material acceleration versus the prior-year quarter.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33.9%–34.3%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33.6%</w:t>
            </w:r>
          </w:p>
        </w:tc>
        <w:tc>
          <w:tcPr/>
          <w:p>
            <w:pPr>
              <w:pStyle w:val="Compact"/>
            </w:pPr>
            <w:r>
              <w:t xml:space="preserve">Expected comparable expansion of</w:t>
            </w:r>
            <w:r>
              <w:t xml:space="preserve"> </w:t>
            </w:r>
            <w:r>
              <w:rPr>
                <w:b/>
                <w:bCs/>
              </w:rPr>
              <w:t xml:space="preserve">10–50 bps</w:t>
            </w:r>
            <w:r>
              <w:t xml:space="preserve">, despite elevated project spending.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clinical visits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In line with FY assumption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Management’s FY assumption is approximately</w:t>
            </w:r>
            <w:r>
              <w:t xml:space="preserve"> </w:t>
            </w:r>
            <w:r>
              <w:rPr>
                <w:b/>
                <w:bCs/>
              </w:rPr>
              <w:t xml:space="preserve">-1.5%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b/>
          <w:bCs/>
        </w:rPr>
        <w:t xml:space="preserve">Important context:</w:t>
      </w:r>
      <w:r>
        <w:t xml:space="preserve"> </w:t>
      </w:r>
      <w:r>
        <w:t xml:space="preserve">Q2’s lower company-growth guide should not be read mechanically as a deterioration in the underlying recurring business. Management said CAG instrument revenue would decline year over year as it laps significant 2025 inVue Dx placements, while Q2’25 instrument revenue grew</w:t>
      </w:r>
      <w:r>
        <w:t xml:space="preserve"> </w:t>
      </w:r>
      <w:r>
        <w:rPr>
          <w:b/>
          <w:bCs/>
        </w:rPr>
        <w:t xml:space="preserve">62.5% organically</w:t>
      </w:r>
      <w:r>
        <w:t xml:space="preserve">.</w:t>
      </w:r>
    </w:p>
    <w:bookmarkEnd w:id="10"/>
    <w:bookmarkStart w:id="16" w:name="what-matters-most-this-quarter"/>
    <w:p>
      <w:pPr>
        <w:pStyle w:val="Heading2"/>
      </w:pPr>
      <w:r>
        <w:t xml:space="preserve">What matters most this quarter</w:t>
      </w:r>
    </w:p>
    <w:bookmarkStart w:id="11" w:name="X61f06b69625bfce777c21aa9379b1dea398137d"/>
    <w:p>
      <w:pPr>
        <w:pStyle w:val="Heading3"/>
      </w:pPr>
      <w:r>
        <w:t xml:space="preserve">1. Can CAG Diagnostics recurring revenue land near or above 10% organic?</w:t>
      </w:r>
    </w:p>
    <w:p>
      <w:pPr>
        <w:pStyle w:val="FirstParagraph"/>
      </w:pPr>
      <w:r>
        <w:t xml:space="preserve">This is the central debate. In Q1, CAG Diagnostics recurring revenue grew</w:t>
      </w:r>
      <w:r>
        <w:t xml:space="preserve"> </w:t>
      </w:r>
      <w:r>
        <w:rPr>
          <w:b/>
          <w:bCs/>
        </w:rPr>
        <w:t xml:space="preserve">11% organically</w:t>
      </w:r>
      <w:r>
        <w:t xml:space="preserve">, with approximately 11% growth in the U.S. and 12% internationally. That result was particularly strong because U.S. same-store clinical visits still declined about 1%.</w:t>
      </w:r>
    </w:p>
    <w:p>
      <w:pPr>
        <w:pStyle w:val="BodyText"/>
      </w:pPr>
      <w:r>
        <w:t xml:space="preserve">For Q2, investors should look for confirmation that IDEXX can remain near the top half of its</w:t>
      </w:r>
      <w:r>
        <w:t xml:space="preserve"> </w:t>
      </w:r>
      <w:r>
        <w:rPr>
          <w:b/>
          <w:bCs/>
        </w:rPr>
        <w:t xml:space="preserve">8.5%–10.5%</w:t>
      </w:r>
      <w:r>
        <w:t xml:space="preserve"> </w:t>
      </w:r>
      <w:r>
        <w:t xml:space="preserve">recurring-growth guide through: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Testing utilization per visit</w:t>
      </w:r>
      <w:r>
        <w:t xml:space="preserve"> </w:t>
      </w:r>
      <w:r>
        <w:t xml:space="preserve">and diagnostic frequency;</w:t>
      </w:r>
    </w:p>
    <w:p>
      <w:pPr>
        <w:pStyle w:val="Compact"/>
        <w:numPr>
          <w:ilvl w:val="0"/>
          <w:numId w:val="1001"/>
        </w:numPr>
      </w:pPr>
      <w:r>
        <w:t xml:space="preserve">Net customer additions and competitive conversions;</w:t>
      </w:r>
    </w:p>
    <w:p>
      <w:pPr>
        <w:pStyle w:val="Compact"/>
        <w:numPr>
          <w:ilvl w:val="0"/>
          <w:numId w:val="1001"/>
        </w:numPr>
      </w:pPr>
      <w:r>
        <w:t xml:space="preserve">VetLab consumables growth;</w:t>
      </w:r>
    </w:p>
    <w:p>
      <w:pPr>
        <w:pStyle w:val="Compact"/>
        <w:numPr>
          <w:ilvl w:val="0"/>
          <w:numId w:val="1001"/>
        </w:numPr>
      </w:pPr>
      <w:r>
        <w:t xml:space="preserve">Reference-lab volume growth;</w:t>
      </w:r>
    </w:p>
    <w:p>
      <w:pPr>
        <w:pStyle w:val="Compact"/>
        <w:numPr>
          <w:ilvl w:val="0"/>
          <w:numId w:val="1001"/>
        </w:numPr>
      </w:pPr>
      <w:r>
        <w:t xml:space="preserve">International growth remaining solidly double digit; and</w:t>
      </w:r>
    </w:p>
    <w:p>
      <w:pPr>
        <w:pStyle w:val="Compact"/>
        <w:numPr>
          <w:ilvl w:val="0"/>
          <w:numId w:val="1001"/>
        </w:numPr>
      </w:pPr>
      <w:r>
        <w:t xml:space="preserve">Continued realization of roughly</w:t>
      </w:r>
      <w:r>
        <w:t xml:space="preserve"> </w:t>
      </w:r>
      <w:r>
        <w:rPr>
          <w:b/>
          <w:bCs/>
        </w:rPr>
        <w:t xml:space="preserve">4% net price</w:t>
      </w:r>
      <w:r>
        <w:t xml:space="preserve"> </w:t>
      </w:r>
      <w:r>
        <w:t xml:space="preserve">in CAG Diagnostics recurring revenue.</w:t>
      </w:r>
    </w:p>
    <w:p>
      <w:pPr>
        <w:pStyle w:val="FirstParagraph"/>
      </w:pPr>
      <w:r>
        <w:t xml:space="preserve">A result near 10% or better—especially if management maintains or improves its full-year outlook—would reinforce the idea that IDEXX is continuing to gain diagnostic penetration even in a muted veterinary-visit environment.</w:t>
      </w:r>
    </w:p>
    <w:bookmarkEnd w:id="11"/>
    <w:bookmarkStart w:id="12" w:name="X10928242317d23fa8d809a1e8e23f6d0f4570a5"/>
    <w:p>
      <w:pPr>
        <w:pStyle w:val="Heading3"/>
      </w:pPr>
      <w:r>
        <w:t xml:space="preserve">2. U.S. clinical visits: stabilization matters more than an outright recovery</w:t>
      </w:r>
    </w:p>
    <w:p>
      <w:pPr>
        <w:pStyle w:val="FirstParagraph"/>
      </w:pPr>
      <w:r>
        <w:t xml:space="preserve">IDEXX’s Q1 U.S. same-store clinical visits were down approximately</w:t>
      </w:r>
      <w:r>
        <w:t xml:space="preserve"> </w:t>
      </w:r>
      <w:r>
        <w:rPr>
          <w:b/>
          <w:bCs/>
        </w:rPr>
        <w:t xml:space="preserve">1%</w:t>
      </w:r>
      <w:r>
        <w:t xml:space="preserve">, better than management’s prior planning assumption. The company subsequently set its full-year assumption at roughly</w:t>
      </w:r>
      <w:r>
        <w:t xml:space="preserve"> </w:t>
      </w:r>
      <w:r>
        <w:rPr>
          <w:b/>
          <w:bCs/>
        </w:rPr>
        <w:t xml:space="preserve">-1.5%</w:t>
      </w:r>
      <w:r>
        <w:t xml:space="preserve">, citing a third consecutive quarter in the -1% to -2% range.</w:t>
      </w:r>
    </w:p>
    <w:p>
      <w:pPr>
        <w:pStyle w:val="BodyText"/>
      </w:pPr>
      <w:r>
        <w:t xml:space="preserve">The important nuance is that weakness has been concentrated in</w:t>
      </w:r>
      <w:r>
        <w:t xml:space="preserve"> </w:t>
      </w:r>
      <w:r>
        <w:rPr>
          <w:b/>
          <w:bCs/>
        </w:rPr>
        <w:t xml:space="preserve">wellness and discretionary visits</w:t>
      </w:r>
      <w:r>
        <w:t xml:space="preserve">, while non-well visits have been comparatively resilient. Management also highlighted a favorable mix shift from an aging pet population—especially pets aged five years and older—which supports diagnostic intensity.</w:t>
      </w:r>
    </w:p>
    <w:p>
      <w:pPr>
        <w:pStyle w:val="BodyText"/>
      </w:pPr>
      <w:r>
        <w:t xml:space="preserve">For the call, investors should listen for:</w:t>
      </w:r>
    </w:p>
    <w:p>
      <w:pPr>
        <w:pStyle w:val="Compact"/>
        <w:numPr>
          <w:ilvl w:val="0"/>
          <w:numId w:val="1002"/>
        </w:numPr>
      </w:pPr>
      <w:r>
        <w:t xml:space="preserve">Whether visits stayed within the -1% to -2% range or worsened;</w:t>
      </w:r>
    </w:p>
    <w:p>
      <w:pPr>
        <w:pStyle w:val="Compact"/>
        <w:numPr>
          <w:ilvl w:val="0"/>
          <w:numId w:val="1002"/>
        </w:numPr>
      </w:pPr>
      <w:r>
        <w:t xml:space="preserve">Whether wellness pressure is broadening;</w:t>
      </w:r>
    </w:p>
    <w:p>
      <w:pPr>
        <w:pStyle w:val="Compact"/>
        <w:numPr>
          <w:ilvl w:val="0"/>
          <w:numId w:val="1002"/>
        </w:numPr>
      </w:pPr>
      <w:r>
        <w:t xml:space="preserve">Evidence that non-well visits remain stable or improve;</w:t>
      </w:r>
    </w:p>
    <w:p>
      <w:pPr>
        <w:pStyle w:val="Compact"/>
        <w:numPr>
          <w:ilvl w:val="0"/>
          <w:numId w:val="1002"/>
        </w:numPr>
      </w:pPr>
      <w:r>
        <w:t xml:space="preserve">Whether diagnostics per visit continue to offset lower traffic; and</w:t>
      </w:r>
    </w:p>
    <w:p>
      <w:pPr>
        <w:pStyle w:val="Compact"/>
        <w:numPr>
          <w:ilvl w:val="0"/>
          <w:numId w:val="1002"/>
        </w:numPr>
      </w:pPr>
      <w:r>
        <w:t xml:space="preserve">Any change in the assumed full-year visit decline.</w:t>
      </w:r>
    </w:p>
    <w:p>
      <w:pPr>
        <w:pStyle w:val="FirstParagraph"/>
      </w:pPr>
      <w:r>
        <w:t xml:space="preserve">A worse visit backdrop may not immediately break the earnings model, given IDEXX’s utilization and share gains, but it would raise the bar for the company’s volume-driven growth algorithm.</w:t>
      </w:r>
    </w:p>
    <w:bookmarkEnd w:id="12"/>
    <w:bookmarkStart w:id="13" w:name="Xd572dee38d45b706a792c412f412a26c0cd33f4"/>
    <w:p>
      <w:pPr>
        <w:pStyle w:val="Heading3"/>
      </w:pPr>
      <w:r>
        <w:t xml:space="preserve">3. inVue Dx: recurring-revenue proof is now more important than placement growth</w:t>
      </w:r>
    </w:p>
    <w:p>
      <w:pPr>
        <w:pStyle w:val="FirstParagraph"/>
      </w:pPr>
      <w:r>
        <w:t xml:space="preserve">The inVue Dx platform is a major component of IDEXX’s innovation narrative. IDEXX placed roughly</w:t>
      </w:r>
      <w:r>
        <w:t xml:space="preserve"> </w:t>
      </w:r>
      <w:r>
        <w:rPr>
          <w:b/>
          <w:bCs/>
        </w:rPr>
        <w:t xml:space="preserve">1,100 inVue Dx instruments in Q1</w:t>
      </w:r>
      <w:r>
        <w:t xml:space="preserve"> </w:t>
      </w:r>
      <w:r>
        <w:t xml:space="preserve">and reiterated its 2026 target of</w:t>
      </w:r>
      <w:r>
        <w:t xml:space="preserve"> </w:t>
      </w:r>
      <w:r>
        <w:rPr>
          <w:b/>
          <w:bCs/>
        </w:rPr>
        <w:t xml:space="preserve">5,500 placements</w:t>
      </w:r>
      <w:r>
        <w:t xml:space="preserve">. Management has said utilization is tracking within its previously communicated recurring-revenue range even before the broad rollout of fine-needle aspiration (“F&amp;A”).</w:t>
      </w:r>
    </w:p>
    <w:p>
      <w:pPr>
        <w:pStyle w:val="BodyText"/>
      </w:pPr>
      <w:r>
        <w:t xml:space="preserve">The Q2 focus should be less on raw placements than on:</w:t>
      </w:r>
    </w:p>
    <w:p>
      <w:pPr>
        <w:pStyle w:val="Compact"/>
        <w:numPr>
          <w:ilvl w:val="0"/>
          <w:numId w:val="1003"/>
        </w:numPr>
      </w:pPr>
      <w:r>
        <w:t xml:space="preserve">Progress toward the 5,500 annual-placement target;</w:t>
      </w:r>
    </w:p>
    <w:p>
      <w:pPr>
        <w:pStyle w:val="Compact"/>
        <w:numPr>
          <w:ilvl w:val="0"/>
          <w:numId w:val="1003"/>
        </w:numPr>
      </w:pPr>
      <w:r>
        <w:t xml:space="preserve">Utilization of ear cytology and blood morphology;</w:t>
      </w:r>
    </w:p>
    <w:p>
      <w:pPr>
        <w:pStyle w:val="Compact"/>
        <w:numPr>
          <w:ilvl w:val="0"/>
          <w:numId w:val="1003"/>
        </w:numPr>
      </w:pPr>
      <w:r>
        <w:t xml:space="preserve">Evidence that F&amp;A adoption is progressing from controlled launch toward broader commercialization;</w:t>
      </w:r>
    </w:p>
    <w:p>
      <w:pPr>
        <w:pStyle w:val="Compact"/>
        <w:numPr>
          <w:ilvl w:val="0"/>
          <w:numId w:val="1003"/>
        </w:numPr>
      </w:pPr>
      <w:r>
        <w:t xml:space="preserve">Confirmation that F&amp;A supports higher utilization and incremental diagnostic demand rather than merely shifting existing testing; and</w:t>
      </w:r>
    </w:p>
    <w:p>
      <w:pPr>
        <w:pStyle w:val="Compact"/>
        <w:numPr>
          <w:ilvl w:val="0"/>
          <w:numId w:val="1003"/>
        </w:numPr>
      </w:pPr>
      <w:r>
        <w:t xml:space="preserve">Management’s confidence in the longer-term revenue-per-instrument opportunity.</w:t>
      </w:r>
    </w:p>
    <w:p>
      <w:pPr>
        <w:pStyle w:val="FirstParagraph"/>
      </w:pPr>
      <w:r>
        <w:t xml:space="preserve">Management characterized early F&amp;A customer feedback as encouraging and expected the launch to broaden during Q2, with a fuller volume ramp in the second half of 2026. Any positive commentary here could be meaningful because it validates the platform’s expanding menu and long-duration consumables opportunity.</w:t>
      </w:r>
    </w:p>
    <w:bookmarkEnd w:id="13"/>
    <w:bookmarkStart w:id="14" w:name="Xcacff442fe6909ce87358402003d83b0d5519c6"/>
    <w:p>
      <w:pPr>
        <w:pStyle w:val="Heading3"/>
      </w:pPr>
      <w:r>
        <w:t xml:space="preserve">4. Reference Lab momentum and Cancer Dx adoption</w:t>
      </w:r>
    </w:p>
    <w:p>
      <w:pPr>
        <w:pStyle w:val="FirstParagraph"/>
      </w:pPr>
      <w:r>
        <w:t xml:space="preserve">IDEXX’s global reference-lab business grew</w:t>
      </w:r>
      <w:r>
        <w:t xml:space="preserve"> </w:t>
      </w:r>
      <w:r>
        <w:rPr>
          <w:b/>
          <w:bCs/>
        </w:rPr>
        <w:t xml:space="preserve">10% organically</w:t>
      </w:r>
      <w:r>
        <w:t xml:space="preserve"> </w:t>
      </w:r>
      <w:r>
        <w:t xml:space="preserve">in Q1, aided by customer gains and higher same-store utilization. Cancer Dx is increasingly relevant to this story: management said more than</w:t>
      </w:r>
      <w:r>
        <w:t xml:space="preserve"> </w:t>
      </w:r>
      <w:r>
        <w:rPr>
          <w:b/>
          <w:bCs/>
        </w:rPr>
        <w:t xml:space="preserve">7,500 practices</w:t>
      </w:r>
      <w:r>
        <w:t xml:space="preserve"> </w:t>
      </w:r>
      <w:r>
        <w:t xml:space="preserve">had ordered the test since launch, and about</w:t>
      </w:r>
      <w:r>
        <w:t xml:space="preserve"> </w:t>
      </w:r>
      <w:r>
        <w:rPr>
          <w:b/>
          <w:bCs/>
        </w:rPr>
        <w:t xml:space="preserve">20% of Cancer Dx customers were not primary IDEXX reference-lab accounts</w:t>
      </w:r>
      <w:r>
        <w:t xml:space="preserve">.</w:t>
      </w:r>
    </w:p>
    <w:p>
      <w:pPr>
        <w:pStyle w:val="BodyText"/>
      </w:pPr>
      <w:r>
        <w:t xml:space="preserve">Watch for updates on:</w:t>
      </w:r>
    </w:p>
    <w:p>
      <w:pPr>
        <w:pStyle w:val="Compact"/>
        <w:numPr>
          <w:ilvl w:val="0"/>
          <w:numId w:val="1004"/>
        </w:numPr>
      </w:pPr>
      <w:r>
        <w:t xml:space="preserve">Reference-lab organic growth relative to Q1’s 10%;</w:t>
      </w:r>
    </w:p>
    <w:p>
      <w:pPr>
        <w:pStyle w:val="Compact"/>
        <w:numPr>
          <w:ilvl w:val="0"/>
          <w:numId w:val="1004"/>
        </w:numPr>
      </w:pPr>
      <w:r>
        <w:t xml:space="preserve">Cancer Dx adoption in routine wellness panels;</w:t>
      </w:r>
    </w:p>
    <w:p>
      <w:pPr>
        <w:pStyle w:val="Compact"/>
        <w:numPr>
          <w:ilvl w:val="0"/>
          <w:numId w:val="1004"/>
        </w:numPr>
      </w:pPr>
      <w:r>
        <w:t xml:space="preserve">International traction following the European and Australian launch; and</w:t>
      </w:r>
    </w:p>
    <w:p>
      <w:pPr>
        <w:pStyle w:val="Compact"/>
        <w:numPr>
          <w:ilvl w:val="0"/>
          <w:numId w:val="1004"/>
        </w:numPr>
      </w:pPr>
      <w:r>
        <w:t xml:space="preserve">Planned menu additions, including mast-cell-tumor detection later in 2026.</w:t>
      </w:r>
    </w:p>
    <w:p>
      <w:pPr>
        <w:pStyle w:val="FirstParagraph"/>
      </w:pPr>
      <w:r>
        <w:t xml:space="preserve">Strong reference-lab performance would broaden the growth mix beyond point-of-care consumables and reinforce IDEXX’s ecosystem advantage.</w:t>
      </w:r>
    </w:p>
    <w:bookmarkEnd w:id="14"/>
    <w:bookmarkStart w:id="15" w:name="Xe9f0f359eb6d9204b86d3bdff5ee3a93f8e55dd"/>
    <w:p>
      <w:pPr>
        <w:pStyle w:val="Heading3"/>
      </w:pPr>
      <w:r>
        <w:t xml:space="preserve">5. Margins: evidence that growth is still converting to profit</w:t>
      </w:r>
    </w:p>
    <w:p>
      <w:pPr>
        <w:pStyle w:val="FirstParagraph"/>
      </w:pPr>
      <w:r>
        <w:t xml:space="preserve">IDEXX guided to a Q2 reported operating margin of</w:t>
      </w:r>
      <w:r>
        <w:t xml:space="preserve"> </w:t>
      </w:r>
      <w:r>
        <w:rPr>
          <w:b/>
          <w:bCs/>
        </w:rPr>
        <w:t xml:space="preserve">33.9%–34.3%</w:t>
      </w:r>
      <w:r>
        <w:t xml:space="preserve">, or 10–50 bps of comparable expansion. That is a strong expected margin level considering management also flagged elevated project spending in the quarter.</w:t>
      </w:r>
    </w:p>
    <w:p>
      <w:pPr>
        <w:pStyle w:val="BodyText"/>
      </w:pPr>
      <w:r>
        <w:t xml:space="preserve">The margin framework remains attractive:</w:t>
      </w:r>
    </w:p>
    <w:p>
      <w:pPr>
        <w:pStyle w:val="Compact"/>
        <w:numPr>
          <w:ilvl w:val="0"/>
          <w:numId w:val="1005"/>
        </w:numPr>
      </w:pPr>
      <w:r>
        <w:t xml:space="preserve">Higher recurring-revenue mix;</w:t>
      </w:r>
    </w:p>
    <w:p>
      <w:pPr>
        <w:pStyle w:val="Compact"/>
        <w:numPr>
          <w:ilvl w:val="0"/>
          <w:numId w:val="1005"/>
        </w:numPr>
      </w:pPr>
      <w:r>
        <w:t xml:space="preserve">VetLab consumables and reference-lab productivity;</w:t>
      </w:r>
    </w:p>
    <w:p>
      <w:pPr>
        <w:pStyle w:val="Compact"/>
        <w:numPr>
          <w:ilvl w:val="0"/>
          <w:numId w:val="1005"/>
        </w:numPr>
      </w:pPr>
      <w:r>
        <w:t xml:space="preserve">Pricing offsetting inflation;</w:t>
      </w:r>
    </w:p>
    <w:p>
      <w:pPr>
        <w:pStyle w:val="Compact"/>
        <w:numPr>
          <w:ilvl w:val="0"/>
          <w:numId w:val="1005"/>
        </w:numPr>
      </w:pPr>
      <w:r>
        <w:t xml:space="preserve">Operational productivity; offset by</w:t>
      </w:r>
    </w:p>
    <w:p>
      <w:pPr>
        <w:pStyle w:val="Compact"/>
        <w:numPr>
          <w:ilvl w:val="0"/>
          <w:numId w:val="1005"/>
        </w:numPr>
      </w:pPr>
      <w:r>
        <w:t xml:space="preserve">Commercial, R&amp;D, software, and innovation investments.</w:t>
      </w:r>
    </w:p>
    <w:p>
      <w:pPr>
        <w:pStyle w:val="FirstParagraph"/>
      </w:pPr>
      <w:r>
        <w:t xml:space="preserve">The key question is whether IDEXX can keep producing margin expansion while funding the commercial infrastructure and product pipeline needed to sustain growth. A beat on revenue accompanied by weak margins or a sharp increase in spending would be less constructive than a balanced result with recurring growth and operating leverage.</w:t>
      </w:r>
    </w:p>
    <w:bookmarkEnd w:id="15"/>
    <w:bookmarkEnd w:id="16"/>
    <w:bookmarkStart w:id="17" w:name="X039aee76bbeb413829bc187f7ab952dbb326dd1"/>
    <w:p>
      <w:pPr>
        <w:pStyle w:val="Heading2"/>
      </w:pPr>
      <w:r>
        <w:t xml:space="preserve">Full-year guidance: the most consequential potential catalyst</w:t>
      </w:r>
    </w:p>
    <w:p>
      <w:pPr>
        <w:pStyle w:val="FirstParagraph"/>
      </w:pPr>
      <w:r>
        <w:t xml:space="preserve">After Q1, IDEXX raised its 2026 outlook: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2026 outlook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4.675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4.760B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8.6%–10.6%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7.7%–9.7%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CAG Diagnostics recurring reported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9.6%–11.6%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CAG Diagnostics recurring organic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8.7%–10.7%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32.1%–32.5%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14.45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14.90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Free-cash-flow conversion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85%–95% of net income</w:t>
            </w:r>
          </w:p>
        </w:tc>
      </w:tr>
    </w:tbl>
    <w:p>
      <w:pPr>
        <w:pStyle w:val="BodyText"/>
      </w:pPr>
      <w:r>
        <w:t xml:space="preserve">The Q1 raise was driven principally by a better operational outlook, including stronger recurring revenue and a modestly improved clinical-visit assumption—not by pricing. That distinction is important. A maintained outlook would likely be acceptable if Q2 results meet the guided cadence; an upward revision would signal that utilization, innovation, and commercial execution are more than offsetting the subdued visit environment.</w:t>
      </w:r>
    </w:p>
    <w:bookmarkEnd w:id="17"/>
    <w:bookmarkStart w:id="18" w:name="bull-case-into-the-print"/>
    <w:p>
      <w:pPr>
        <w:pStyle w:val="Heading2"/>
      </w:pPr>
      <w:r>
        <w:t xml:space="preserve">Bull case into the print</w:t>
      </w:r>
    </w:p>
    <w:p>
      <w:pPr>
        <w:pStyle w:val="FirstParagraph"/>
      </w:pPr>
      <w:r>
        <w:t xml:space="preserve">A constructive result would likely feature: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CAG Diagnostics recurring organic growth at or above ~10%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Continued U.S. outgrowth despite negative clinical visits;</w:t>
      </w:r>
    </w:p>
    <w:p>
      <w:pPr>
        <w:pStyle w:val="Compact"/>
        <w:numPr>
          <w:ilvl w:val="0"/>
          <w:numId w:val="1006"/>
        </w:numPr>
      </w:pPr>
      <w:r>
        <w:t xml:space="preserve">International recurring growth remaining double digit;</w:t>
      </w:r>
    </w:p>
    <w:p>
      <w:pPr>
        <w:pStyle w:val="Compact"/>
        <w:numPr>
          <w:ilvl w:val="0"/>
          <w:numId w:val="1006"/>
        </w:numPr>
      </w:pPr>
      <w:r>
        <w:t xml:space="preserve">Strong VetLab consumables and reference-lab volume trends;</w:t>
      </w:r>
    </w:p>
    <w:p>
      <w:pPr>
        <w:pStyle w:val="Compact"/>
        <w:numPr>
          <w:ilvl w:val="0"/>
          <w:numId w:val="1006"/>
        </w:numPr>
      </w:pPr>
      <w:r>
        <w:t xml:space="preserve">inVue placement/utilization tracking comfortably to annual goals;</w:t>
      </w:r>
    </w:p>
    <w:p>
      <w:pPr>
        <w:pStyle w:val="Compact"/>
        <w:numPr>
          <w:ilvl w:val="0"/>
          <w:numId w:val="1006"/>
        </w:numPr>
      </w:pPr>
      <w:r>
        <w:t xml:space="preserve">Positive F&amp;A rollout commentary and evidence of incremental demand;</w:t>
      </w:r>
    </w:p>
    <w:p>
      <w:pPr>
        <w:pStyle w:val="Compact"/>
        <w:numPr>
          <w:ilvl w:val="0"/>
          <w:numId w:val="1006"/>
        </w:numPr>
      </w:pPr>
      <w:r>
        <w:t xml:space="preserve">Q2 operating margin at the high end of guidance; and</w:t>
      </w:r>
    </w:p>
    <w:p>
      <w:pPr>
        <w:pStyle w:val="Compact"/>
        <w:numPr>
          <w:ilvl w:val="0"/>
          <w:numId w:val="1006"/>
        </w:numPr>
      </w:pPr>
      <w:r>
        <w:t xml:space="preserve">A full-year revenue/EPS raise or a notably confident reaffirmation.</w:t>
      </w:r>
    </w:p>
    <w:p>
      <w:pPr>
        <w:pStyle w:val="FirstParagraph"/>
      </w:pPr>
      <w:r>
        <w:t xml:space="preserve">The strategic case is that IDEXX is proving its ability to compound recurring revenue through diagnostics penetration, installed-base expansion, software integration, and new-test innovation—rather than relying on a recovery in veterinary visit volumes.</w:t>
      </w:r>
    </w:p>
    <w:bookmarkEnd w:id="18"/>
    <w:bookmarkStart w:id="19" w:name="bear-case-into-the-print"/>
    <w:p>
      <w:pPr>
        <w:pStyle w:val="Heading2"/>
      </w:pPr>
      <w:r>
        <w:t xml:space="preserve">Bear case into the print</w:t>
      </w:r>
    </w:p>
    <w:p>
      <w:pPr>
        <w:pStyle w:val="FirstParagraph"/>
      </w:pPr>
      <w:r>
        <w:t xml:space="preserve">The main downside risks are: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Clinical-visit weakness worsens</w:t>
      </w:r>
      <w:r>
        <w:t xml:space="preserve">, especially if non-well visits soften;</w:t>
      </w:r>
    </w:p>
    <w:p>
      <w:pPr>
        <w:pStyle w:val="Compact"/>
        <w:numPr>
          <w:ilvl w:val="0"/>
          <w:numId w:val="1007"/>
        </w:numPr>
      </w:pPr>
      <w:r>
        <w:t xml:space="preserve">CAG recurring growth misses the lower end of the 8.5%–10.5% guide;</w:t>
      </w:r>
    </w:p>
    <w:p>
      <w:pPr>
        <w:pStyle w:val="Compact"/>
        <w:numPr>
          <w:ilvl w:val="0"/>
          <w:numId w:val="1007"/>
        </w:numPr>
      </w:pPr>
      <w:r>
        <w:t xml:space="preserve">Instrument revenue declines more sharply than anticipated or placements disappoint;</w:t>
      </w:r>
    </w:p>
    <w:p>
      <w:pPr>
        <w:pStyle w:val="Compact"/>
        <w:numPr>
          <w:ilvl w:val="0"/>
          <w:numId w:val="1007"/>
        </w:numPr>
      </w:pPr>
      <w:r>
        <w:t xml:space="preserve">F&amp;A rollout is delayed, constrained, or produces lower-than-expected early utilization;</w:t>
      </w:r>
    </w:p>
    <w:p>
      <w:pPr>
        <w:pStyle w:val="Compact"/>
        <w:numPr>
          <w:ilvl w:val="0"/>
          <w:numId w:val="1007"/>
        </w:numPr>
      </w:pPr>
      <w:r>
        <w:t xml:space="preserve">Reference-lab growth loses momentum;</w:t>
      </w:r>
    </w:p>
    <w:p>
      <w:pPr>
        <w:pStyle w:val="Compact"/>
        <w:numPr>
          <w:ilvl w:val="0"/>
          <w:numId w:val="1007"/>
        </w:numPr>
      </w:pPr>
      <w:r>
        <w:t xml:space="preserve">Margin expansion is absorbed by investment spending; or</w:t>
      </w:r>
    </w:p>
    <w:p>
      <w:pPr>
        <w:pStyle w:val="Compact"/>
        <w:numPr>
          <w:ilvl w:val="0"/>
          <w:numId w:val="1007"/>
        </w:numPr>
      </w:pPr>
      <w:r>
        <w:t xml:space="preserve">Management lowers or de-risks full-year expectations because of consumer pressure, energy costs, foreign exchange, or macro uncertainty.</w:t>
      </w:r>
    </w:p>
    <w:p>
      <w:pPr>
        <w:pStyle w:val="FirstParagraph"/>
      </w:pPr>
      <w:r>
        <w:t xml:space="preserve">The most sensitive operating variable remains volume. Management has been clear that the 2026 guide improvement was driven by</w:t>
      </w:r>
      <w:r>
        <w:t xml:space="preserve"> </w:t>
      </w:r>
      <w:r>
        <w:rPr>
          <w:b/>
          <w:bCs/>
        </w:rPr>
        <w:t xml:space="preserve">volume</w:t>
      </w:r>
      <w:r>
        <w:t xml:space="preserve">, including execution, innovation, utilization, and somewhat better visit expectations—not a step-up in price.</w:t>
      </w:r>
    </w:p>
    <w:bookmarkEnd w:id="19"/>
    <w:bookmarkStart w:id="20" w:name="stock-and-positioning-context"/>
    <w:p>
      <w:pPr>
        <w:pStyle w:val="Heading2"/>
      </w:pPr>
      <w:r>
        <w:t xml:space="preserve">Stock and positioning context</w:t>
      </w:r>
    </w:p>
    <w:p>
      <w:pPr>
        <w:pStyle w:val="FirstParagraph"/>
      </w:pPr>
      <w:r>
        <w:t xml:space="preserve">IDXX closed at</w:t>
      </w:r>
      <w:r>
        <w:t xml:space="preserve"> </w:t>
      </w:r>
      <w:r>
        <w:rPr>
          <w:b/>
          <w:bCs/>
        </w:rPr>
        <w:t xml:space="preserve">$567.88 on August 3, 2026</w:t>
      </w:r>
      <w:r>
        <w:t xml:space="preserve">, down about</w:t>
      </w:r>
      <w:r>
        <w:t xml:space="preserve"> </w:t>
      </w:r>
      <w:r>
        <w:rPr>
          <w:b/>
          <w:bCs/>
        </w:rPr>
        <w:t xml:space="preserve">15% year to date</w:t>
      </w:r>
      <w:r>
        <w:t xml:space="preserve"> </w:t>
      </w:r>
      <w:r>
        <w:t xml:space="preserve">from $669.99 on January 2. The shares have recovered modestly from a late-June low but remain below their early-2026 levels.</w:t>
      </w:r>
    </w:p>
    <w:p>
      <w:pPr>
        <w:pStyle w:val="BodyText"/>
      </w:pPr>
      <w:r>
        <w:t xml:space="preserve">That performance suggests investors are not treating the company as a no-risk compounder: the market appears to want confirmation that organic growth can remain high single digit to double digit without a meaningful return to positive veterinary-visit growth. As a result, the reaction is likely to depend disproportionately on</w:t>
      </w:r>
      <w:r>
        <w:t xml:space="preserve"> </w:t>
      </w:r>
      <w:r>
        <w:rPr>
          <w:b/>
          <w:bCs/>
        </w:rPr>
        <w:t xml:space="preserve">the quality of recurring revenue and guidance commentary</w:t>
      </w:r>
      <w:r>
        <w:t xml:space="preserve">, rather than a small EPS beat or miss.</w:t>
      </w:r>
    </w:p>
    <w:bookmarkEnd w:id="20"/>
    <w:bookmarkStart w:id="21" w:name="key-questions-for-the-earnings-call"/>
    <w:p>
      <w:pPr>
        <w:pStyle w:val="Heading2"/>
      </w:pPr>
      <w:r>
        <w:t xml:space="preserve">Key questions for the earnings call</w:t>
      </w:r>
    </w:p>
    <w:p>
      <w:pPr>
        <w:pStyle w:val="Compact"/>
        <w:numPr>
          <w:ilvl w:val="0"/>
          <w:numId w:val="1008"/>
        </w:numPr>
      </w:pPr>
      <w:r>
        <w:t xml:space="preserve">What was U.S. same-store clinical-visit growth in Q2, and how did wellness versus non-wellness visits evolve?</w:t>
      </w:r>
    </w:p>
    <w:p>
      <w:pPr>
        <w:pStyle w:val="Compact"/>
        <w:numPr>
          <w:ilvl w:val="0"/>
          <w:numId w:val="1008"/>
        </w:numPr>
      </w:pPr>
      <w:r>
        <w:t xml:space="preserve">What were the respective contributions from price, volume/utilization, customer growth, and innovation to CAG recurring growth?</w:t>
      </w:r>
    </w:p>
    <w:p>
      <w:pPr>
        <w:pStyle w:val="Compact"/>
        <w:numPr>
          <w:ilvl w:val="0"/>
          <w:numId w:val="1008"/>
        </w:numPr>
      </w:pPr>
      <w:r>
        <w:t xml:space="preserve">Are inVue Dx placements and utilization on pace for the 5,500 annual placement target?</w:t>
      </w:r>
    </w:p>
    <w:p>
      <w:pPr>
        <w:pStyle w:val="Compact"/>
        <w:numPr>
          <w:ilvl w:val="0"/>
          <w:numId w:val="1008"/>
        </w:numPr>
      </w:pPr>
      <w:r>
        <w:t xml:space="preserve">What has management learned from the F&amp;A controlled launch, and when does it expect an unconstrained rollout?</w:t>
      </w:r>
    </w:p>
    <w:p>
      <w:pPr>
        <w:pStyle w:val="Compact"/>
        <w:numPr>
          <w:ilvl w:val="0"/>
          <w:numId w:val="1008"/>
        </w:numPr>
      </w:pPr>
      <w:r>
        <w:t xml:space="preserve">How much recurring-revenue contribution is inVue generating today, and what does the second-half ramp imply?</w:t>
      </w:r>
    </w:p>
    <w:p>
      <w:pPr>
        <w:pStyle w:val="Compact"/>
        <w:numPr>
          <w:ilvl w:val="0"/>
          <w:numId w:val="1008"/>
        </w:numPr>
      </w:pPr>
      <w:r>
        <w:t xml:space="preserve">Did Cancer Dx contribute meaningfully to reference-lab customer conversion or diagnostic-panel adoption?</w:t>
      </w:r>
    </w:p>
    <w:p>
      <w:pPr>
        <w:pStyle w:val="Compact"/>
        <w:numPr>
          <w:ilvl w:val="0"/>
          <w:numId w:val="1008"/>
        </w:numPr>
      </w:pPr>
      <w:r>
        <w:t xml:space="preserve">Is international growth still being driven primarily by execution and market development rather than foreign exchange?</w:t>
      </w:r>
    </w:p>
    <w:p>
      <w:pPr>
        <w:pStyle w:val="Compact"/>
        <w:numPr>
          <w:ilvl w:val="0"/>
          <w:numId w:val="1008"/>
        </w:numPr>
      </w:pPr>
      <w:r>
        <w:t xml:space="preserve">Has the approximately -1.5% full-year U.S. clinical-visit assumption changed?</w:t>
      </w:r>
    </w:p>
    <w:p>
      <w:pPr>
        <w:pStyle w:val="Compact"/>
        <w:numPr>
          <w:ilvl w:val="0"/>
          <w:numId w:val="1008"/>
        </w:numPr>
      </w:pPr>
      <w:r>
        <w:t xml:space="preserve">Does the company still expect 50–90 bps of full-year comparable operating-margin expansion?</w:t>
      </w:r>
    </w:p>
    <w:p>
      <w:pPr>
        <w:pStyle w:val="Compact"/>
        <w:numPr>
          <w:ilvl w:val="0"/>
          <w:numId w:val="1008"/>
        </w:numPr>
      </w:pPr>
      <w:r>
        <w:t xml:space="preserve">Is management prepared to raise 2026 guidance after Q2, or does it view current guidance as appropriately calibrated?</w:t>
      </w:r>
    </w:p>
    <w:bookmarkEnd w:id="21"/>
    <w:bookmarkStart w:id="22" w:name="investment-view"/>
    <w:p>
      <w:pPr>
        <w:pStyle w:val="Heading2"/>
      </w:pPr>
      <w:r>
        <w:t xml:space="preserve">Investment view</w:t>
      </w:r>
    </w:p>
    <w:p>
      <w:pPr>
        <w:pStyle w:val="FirstParagraph"/>
      </w:pPr>
      <w:r>
        <w:rPr>
          <w:b/>
          <w:bCs/>
        </w:rPr>
        <w:t xml:space="preserve">The setup is favorable operationally but demands execution.</w:t>
      </w:r>
      <w:r>
        <w:t xml:space="preserve"> </w:t>
      </w:r>
      <w:r>
        <w:t xml:space="preserve">IDEXX has already established a strong Q1 base and raised guidance, while Q2 expectations explicitly incorporate a lower headline-growth rate due to calendar effects and a difficult instrument comparison. Therefore, the cleanest sign of strength would be a quarter in which recurring CAG Diagnostics growth remains near double digit, margins hold, inVue/F&amp;A milestones advance, and management sustains or raises its full-year outlook.</w:t>
      </w:r>
    </w:p>
    <w:p>
      <w:pPr>
        <w:pStyle w:val="BodyText"/>
      </w:pPr>
      <w:r>
        <w:t xml:space="preserve">For investors, the highest-value datapoints are</w:t>
      </w:r>
      <w:r>
        <w:t xml:space="preserve"> </w:t>
      </w:r>
      <w:r>
        <w:rPr>
          <w:b/>
          <w:bCs/>
        </w:rPr>
        <w:t xml:space="preserve">CAG Diagnostics recurring organic growth, U.S. clinical visits versus utilization, inVue Dx monetization, and the durability of the 2026 guide</w:t>
      </w:r>
      <w:r>
        <w:t xml:space="preserve">.</w:t>
      </w:r>
    </w:p>
    <w:p>
      <w:pPr>
        <w:pStyle w:val="BodyText"/>
      </w:pPr>
      <w:r>
        <w:rPr>
          <w:i/>
          <w:iCs/>
        </w:rPr>
        <w:t xml:space="preserve">Sources: IDEXX Q1 2026 earnings release and earnings-call transcript; IDEXX Q2 2025 earnings release; historical IDXX closing-price data through August 3, 2026.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2026-08-04T00:46:21Z</dcterms:created>
  <dcterms:modified xsi:type="dcterms:W3CDTF">2026-08-04T00:46:21Z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