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IDEXX Laboratories (IDXX)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IDEXX Laboratories, Inc.</w:t>
            </w:r>
          </w:p>
        </w:tc>
      </w:tr>
      <w:tr>
        <w:tc>
          <w:tcPr>
            <w:tcW w:type="dxa" w:w="4320"/>
          </w:tcPr>
          <w:p>
            <w:r>
              <w:rPr>
                <w:rFonts w:ascii="Calibri" w:hAnsi="Calibri"/>
                <w:b/>
                <w:sz w:val="22"/>
              </w:rPr>
              <w:t>Ticker</w:t>
            </w:r>
          </w:p>
        </w:tc>
        <w:tc>
          <w:tcPr>
            <w:tcW w:type="dxa" w:w="4320"/>
          </w:tcPr>
          <w:p>
            <w:r>
              <w:rPr>
                <w:rFonts w:ascii="Calibri" w:hAnsi="Calibri"/>
                <w:sz w:val="22"/>
              </w:rPr>
              <w:t>IDXX (NASDAQ)</w:t>
            </w:r>
          </w:p>
        </w:tc>
      </w:tr>
      <w:tr>
        <w:tc>
          <w:tcPr>
            <w:tcW w:type="dxa" w:w="4320"/>
          </w:tcPr>
          <w:p>
            <w:r>
              <w:rPr>
                <w:rFonts w:ascii="Calibri" w:hAnsi="Calibri"/>
                <w:b/>
                <w:sz w:val="22"/>
              </w:rPr>
              <w:t>Upcoming Earnings Date</w:t>
            </w:r>
          </w:p>
        </w:tc>
        <w:tc>
          <w:tcPr>
            <w:tcW w:type="dxa" w:w="4320"/>
          </w:tcPr>
          <w:p>
            <w:r>
              <w:rPr>
                <w:rFonts w:ascii="Calibri" w:hAnsi="Calibri"/>
                <w:sz w:val="22"/>
              </w:rPr>
              <w:t>August 4, 2026 — Q2 2026 Earnings Call,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sits just above the guidance midpoint on revenue and in line on EPS, leaving a low-to-moderate bar — but the single biggest swing factor is whether the </w:t>
      </w:r>
      <w:r>
        <w:rPr>
          <w:rFonts w:ascii="Calibri" w:hAnsi="Calibri"/>
          <w:b/>
          <w:color w:val="525866"/>
          <w:sz w:val="22"/>
        </w:rPr>
        <w:t>FNA (fine needle aspirate) controlled-to-full rollout</w:t>
      </w:r>
      <w:r>
        <w:rPr>
          <w:rFonts w:ascii="Calibri" w:hAnsi="Calibri"/>
          <w:color w:val="525866"/>
          <w:sz w:val="22"/>
        </w:rPr>
        <w:t xml:space="preserve"> on inVue Dx is tracking ahead of plan and whether CAG Diagnostics recurring revenue growth can sustain the 8–11% organic pace seen in Q1.</w:t>
      </w:r>
    </w:p>
    <w:p>
      <w:r>
        <w:rPr>
          <w:rFonts w:ascii="Calibri" w:hAnsi="Calibri"/>
          <w:color w:val="525866"/>
          <w:sz w:val="22"/>
        </w:rPr>
        <w:t xml:space="preserve">Heading into the Q2 2026 print, IDEXX's bar is manageable: management guided Q2 reported revenue growth of 7.3%–9.3% (organic 6.7%–8.7%) and CAG Diagnostics recurring revenue organic growth of 8.5%–10.5%, with reported operating margins of 33.9%–34.3% — a 10–50 bps comparable expansion. </w:t>
      </w:r>
      <w:r>
        <w:rPr>
          <w:rFonts w:ascii="Calibri" w:hAnsi="Calibri"/>
          <w:b/>
          <w:color w:val="525866"/>
          <w:sz w:val="22"/>
        </w:rPr>
        <w:t>Consensus at $1.198B in revenue and $3.92 in operating EPS sits modestly above the guidance midpoint</w:t>
      </w:r>
      <w:r>
        <w:rPr>
          <w:rFonts w:ascii="Calibri" w:hAnsi="Calibri"/>
          <w:color w:val="525866"/>
          <w:sz w:val="22"/>
        </w:rPr>
        <w:t xml:space="preserve">, implying the Street is already pricing in a slight beat, which compresses the upside surprise potential. Management's tone on the Q1 call was highly confident — describing Q1 as an "exceptional start" — and the guidance raise was entirely volume-driven with no pricing update, signaling operational conviction rather than financial engineering. </w:t>
      </w:r>
      <w:r>
        <w:rPr>
          <w:rFonts w:ascii="Calibri" w:hAnsi="Calibri"/>
          <w:b/>
          <w:color w:val="525866"/>
          <w:sz w:val="22"/>
        </w:rPr>
        <w:t>Estimate revisions have been essentially flat since the post-Q1 baseline</w:t>
      </w:r>
      <w:r>
        <w:rPr>
          <w:rFonts w:ascii="Calibri" w:hAnsi="Calibri"/>
          <w:color w:val="525866"/>
          <w:sz w:val="22"/>
        </w:rPr>
        <w:t xml:space="preserve"> (revenue consensus moved from $1.199B to $1.198B; EPS from $3.93 to $3.92), suggesting the Street has largely digested the Q1 raise and is waiting for execution proof. The stock is down roughly 1% since the May 5 earnings date on an absolute basis but has meaningfully underperformed XLV (healthcare ETF), which is up ~12% over the same period, reflecting multiple compression from ~46x NTM P/E six months ago to ~35x today — the stock is no longer pricing in perfection, which is a healthier setup. </w:t>
      </w:r>
      <w:r>
        <w:rPr>
          <w:rFonts w:ascii="Calibri" w:hAnsi="Calibri"/>
          <w:b/>
          <w:color w:val="525866"/>
          <w:sz w:val="22"/>
        </w:rPr>
        <w:t>The key wildcard is the FNA ramp</w:t>
      </w:r>
      <w:r>
        <w:rPr>
          <w:rFonts w:ascii="Calibri" w:hAnsi="Calibri"/>
          <w:color w:val="525866"/>
          <w:sz w:val="22"/>
        </w:rPr>
        <w:t>: management guided a "full volume ramp in the second half" with Q2 representing a broadening of the controlled launch; any signal that FNA utilization is tracking above planning assumptions — or that inVue Dx revenue per box is running above the guided range — could be the catalyst for a meaningful guidance raise and positive stock reaction.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modest but not demanding bar — revenue and EPS estimates sit just above the guidance midpoint, leaving limited room for a large upside surprise. </w:t>
      </w:r>
      <w:r>
        <w:rPr>
          <w:rFonts w:ascii="Calibri" w:hAnsi="Calibri"/>
          <w:b/>
          <w:color w:val="525866"/>
          <w:sz w:val="22"/>
        </w:rPr>
        <w:t>CAG Diagnostics recurring revenue growth is the bigger swing factor</w:t>
      </w:r>
      <w:r>
        <w:rPr>
          <w:rFonts w:ascii="Calibri" w:hAnsi="Calibri"/>
          <w:color w:val="525866"/>
          <w:sz w:val="22"/>
        </w:rPr>
        <w:t>: sustaining the 11% organic pace from Q1 into Q2 (guided 8.5%–10.5%) would be a clear positive signal, while any deceleration below the low end of guidance would raise questions about sector health.</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 Δ)</w:t>
            </w:r>
          </w:p>
        </w:tc>
      </w:tr>
      <w:tr>
        <w:tc>
          <w:tcPr>
            <w:tcW w:type="dxa" w:w="1234"/>
          </w:tcPr>
          <w:p>
            <w:r>
              <w:rPr>
                <w:rFonts w:ascii="Calibri" w:hAnsi="Calibri"/>
                <w:sz w:val="22"/>
              </w:rPr>
              <w:t>Total Revenue ($M)</w:t>
            </w:r>
          </w:p>
        </w:tc>
        <w:tc>
          <w:tcPr>
            <w:tcW w:type="dxa" w:w="1234"/>
          </w:tcPr>
          <w:p>
            <w:r>
              <w:rPr>
                <w:rFonts w:ascii="Calibri" w:hAnsi="Calibri"/>
                <w:sz w:val="22"/>
              </w:rPr>
              <w:t>$1,140.8M</w:t>
            </w:r>
          </w:p>
        </w:tc>
        <w:tc>
          <w:tcPr>
            <w:tcW w:type="dxa" w:w="1234"/>
          </w:tcPr>
          <w:p>
            <w:r>
              <w:rPr>
                <w:rFonts w:ascii="Calibri" w:hAnsi="Calibri"/>
                <w:sz w:val="22"/>
              </w:rPr>
              <w:t>$1,109.5M</w:t>
            </w:r>
          </w:p>
        </w:tc>
        <w:tc>
          <w:tcPr>
            <w:tcW w:type="dxa" w:w="1234"/>
          </w:tcPr>
          <w:p>
            <w:r>
              <w:rPr>
                <w:rFonts w:ascii="Calibri" w:hAnsi="Calibri"/>
                <w:sz w:val="22"/>
              </w:rPr>
              <w:t>$1,198.3M</w:t>
            </w:r>
          </w:p>
        </w:tc>
        <w:tc>
          <w:tcPr>
            <w:tcW w:type="dxa" w:w="1234"/>
          </w:tcPr>
          <w:p>
            <w:r>
              <w:rPr>
                <w:rFonts w:ascii="Calibri" w:hAnsi="Calibri"/>
                <w:sz w:val="22"/>
              </w:rPr>
              <w:t>+8.0%</w:t>
            </w:r>
          </w:p>
        </w:tc>
        <w:tc>
          <w:tcPr>
            <w:tcW w:type="dxa" w:w="1234"/>
          </w:tcPr>
          <w:p>
            <w:r>
              <w:rPr>
                <w:rFonts w:ascii="Calibri" w:hAnsi="Calibri"/>
                <w:sz w:val="22"/>
              </w:rPr>
              <w:t>~$1,190M (midpoint of 7.3%–9.3% reported growth on Q2 2025 base)</w:t>
            </w:r>
          </w:p>
        </w:tc>
        <w:tc>
          <w:tcPr>
            <w:tcW w:type="dxa" w:w="1234"/>
          </w:tcPr>
          <w:p>
            <w:r>
              <w:rPr>
                <w:rFonts w:ascii="Calibri" w:hAnsi="Calibri"/>
                <w:sz w:val="22"/>
              </w:rPr>
              <w:t>+~0.7%</w:t>
            </w:r>
          </w:p>
        </w:tc>
      </w:tr>
      <w:tr>
        <w:tc>
          <w:tcPr>
            <w:tcW w:type="dxa" w:w="1234"/>
          </w:tcPr>
          <w:p>
            <w:r>
              <w:rPr>
                <w:rFonts w:ascii="Calibri" w:hAnsi="Calibri"/>
                <w:sz w:val="22"/>
              </w:rPr>
              <w:t>CAG Diagnostics Recurring Revenue ($M)</w:t>
            </w:r>
          </w:p>
        </w:tc>
        <w:tc>
          <w:tcPr>
            <w:tcW w:type="dxa" w:w="1234"/>
          </w:tcPr>
          <w:p>
            <w:r>
              <w:rPr>
                <w:rFonts w:ascii="Calibri" w:hAnsi="Calibri"/>
                <w:sz w:val="22"/>
              </w:rPr>
              <w:t>$920.3M</w:t>
            </w:r>
          </w:p>
        </w:tc>
        <w:tc>
          <w:tcPr>
            <w:tcW w:type="dxa" w:w="1234"/>
          </w:tcPr>
          <w:p>
            <w:r>
              <w:rPr>
                <w:rFonts w:ascii="Calibri" w:hAnsi="Calibri"/>
                <w:sz w:val="22"/>
              </w:rPr>
              <w:t>$878.0M</w:t>
            </w:r>
          </w:p>
        </w:tc>
        <w:tc>
          <w:tcPr>
            <w:tcW w:type="dxa" w:w="1234"/>
          </w:tcPr>
          <w:p>
            <w:r>
              <w:rPr>
                <w:rFonts w:ascii="Calibri" w:hAnsi="Calibri"/>
                <w:sz w:val="22"/>
              </w:rPr>
              <w:t>$962.9M</w:t>
            </w:r>
          </w:p>
        </w:tc>
        <w:tc>
          <w:tcPr>
            <w:tcW w:type="dxa" w:w="1234"/>
          </w:tcPr>
          <w:p>
            <w:r>
              <w:rPr>
                <w:rFonts w:ascii="Calibri" w:hAnsi="Calibri"/>
                <w:sz w:val="22"/>
              </w:rPr>
              <w:t>+9.7%</w:t>
            </w:r>
          </w:p>
        </w:tc>
        <w:tc>
          <w:tcPr>
            <w:tcW w:type="dxa" w:w="1234"/>
          </w:tcPr>
          <w:p>
            <w:r>
              <w:rPr>
                <w:rFonts w:ascii="Calibri" w:hAnsi="Calibri"/>
                <w:sz w:val="22"/>
              </w:rPr>
              <w:t>~$955M (midpoint of 8.5%–10.5% organic growth)</w:t>
            </w:r>
          </w:p>
        </w:tc>
        <w:tc>
          <w:tcPr>
            <w:tcW w:type="dxa" w:w="1234"/>
          </w:tcPr>
          <w:p>
            <w:r>
              <w:rPr>
                <w:rFonts w:ascii="Calibri" w:hAnsi="Calibri"/>
                <w:sz w:val="22"/>
              </w:rPr>
              <w:t>+~0.8%</w:t>
            </w:r>
          </w:p>
        </w:tc>
      </w:tr>
      <w:tr>
        <w:tc>
          <w:tcPr>
            <w:tcW w:type="dxa" w:w="1234"/>
          </w:tcPr>
          <w:p>
            <w:r>
              <w:rPr>
                <w:rFonts w:ascii="Calibri" w:hAnsi="Calibri"/>
                <w:sz w:val="22"/>
              </w:rPr>
              <w:t>CAG Diagnostics Capital Instruments ($M)</w:t>
            </w:r>
          </w:p>
        </w:tc>
        <w:tc>
          <w:tcPr>
            <w:tcW w:type="dxa" w:w="1234"/>
          </w:tcPr>
          <w:p>
            <w:r>
              <w:rPr>
                <w:rFonts w:ascii="Calibri" w:hAnsi="Calibri"/>
                <w:sz w:val="22"/>
              </w:rPr>
              <w:t>$42.4M</w:t>
            </w:r>
          </w:p>
        </w:tc>
        <w:tc>
          <w:tcPr>
            <w:tcW w:type="dxa" w:w="1234"/>
          </w:tcPr>
          <w:p>
            <w:r>
              <w:rPr>
                <w:rFonts w:ascii="Calibri" w:hAnsi="Calibri"/>
                <w:sz w:val="22"/>
              </w:rPr>
              <w:t>$58.6M</w:t>
            </w:r>
          </w:p>
        </w:tc>
        <w:tc>
          <w:tcPr>
            <w:tcW w:type="dxa" w:w="1234"/>
          </w:tcPr>
          <w:p>
            <w:r>
              <w:rPr>
                <w:rFonts w:ascii="Calibri" w:hAnsi="Calibri"/>
                <w:sz w:val="22"/>
              </w:rPr>
              <w:t>$49.1M</w:t>
            </w:r>
          </w:p>
        </w:tc>
        <w:tc>
          <w:tcPr>
            <w:tcW w:type="dxa" w:w="1234"/>
          </w:tcPr>
          <w:p>
            <w:r>
              <w:rPr>
                <w:rFonts w:ascii="Calibri" w:hAnsi="Calibri"/>
                <w:sz w:val="22"/>
              </w:rPr>
              <w:t>-16.2%</w:t>
            </w:r>
          </w:p>
        </w:tc>
        <w:tc>
          <w:tcPr>
            <w:tcW w:type="dxa" w:w="1234"/>
          </w:tcPr>
          <w:p>
            <w:r>
              <w:rPr>
                <w:rFonts w:ascii="Calibri" w:hAnsi="Calibri"/>
                <w:sz w:val="22"/>
              </w:rPr>
              <w:t>N/A — no specific Q2 instrument guidance provided</w:t>
            </w:r>
          </w:p>
        </w:tc>
        <w:tc>
          <w:tcPr>
            <w:tcW w:type="dxa" w:w="1234"/>
          </w:tcPr>
          <w:p>
            <w:r>
              <w:rPr>
                <w:rFonts w:ascii="Calibri" w:hAnsi="Calibri"/>
                <w:sz w:val="22"/>
              </w:rPr>
              <w:t>N/A</w:t>
            </w:r>
          </w:p>
        </w:tc>
      </w:tr>
      <w:tr>
        <w:tc>
          <w:tcPr>
            <w:tcW w:type="dxa" w:w="1234"/>
          </w:tcPr>
          <w:p>
            <w:r>
              <w:rPr>
                <w:rFonts w:ascii="Calibri" w:hAnsi="Calibri"/>
                <w:sz w:val="22"/>
              </w:rPr>
              <w:t>Operating Income ($M)</w:t>
            </w:r>
          </w:p>
        </w:tc>
        <w:tc>
          <w:tcPr>
            <w:tcW w:type="dxa" w:w="1234"/>
          </w:tcPr>
          <w:p>
            <w:r>
              <w:rPr>
                <w:rFonts w:ascii="Calibri" w:hAnsi="Calibri"/>
                <w:sz w:val="22"/>
              </w:rPr>
              <w:t>$362.6M</w:t>
            </w:r>
          </w:p>
        </w:tc>
        <w:tc>
          <w:tcPr>
            <w:tcW w:type="dxa" w:w="1234"/>
          </w:tcPr>
          <w:p>
            <w:r>
              <w:rPr>
                <w:rFonts w:ascii="Calibri" w:hAnsi="Calibri"/>
                <w:sz w:val="22"/>
              </w:rPr>
              <w:t>$373.0M</w:t>
            </w:r>
          </w:p>
        </w:tc>
        <w:tc>
          <w:tcPr>
            <w:tcW w:type="dxa" w:w="1234"/>
          </w:tcPr>
          <w:p>
            <w:r>
              <w:rPr>
                <w:rFonts w:ascii="Calibri" w:hAnsi="Calibri"/>
                <w:sz w:val="22"/>
              </w:rPr>
              <w:t>$408.3M</w:t>
            </w:r>
          </w:p>
        </w:tc>
        <w:tc>
          <w:tcPr>
            <w:tcW w:type="dxa" w:w="1234"/>
          </w:tcPr>
          <w:p>
            <w:r>
              <w:rPr>
                <w:rFonts w:ascii="Calibri" w:hAnsi="Calibri"/>
                <w:sz w:val="22"/>
              </w:rPr>
              <w:t>+9.5%</w:t>
            </w:r>
          </w:p>
        </w:tc>
        <w:tc>
          <w:tcPr>
            <w:tcW w:type="dxa" w:w="1234"/>
          </w:tcPr>
          <w:p>
            <w:r>
              <w:rPr>
                <w:rFonts w:ascii="Calibri" w:hAnsi="Calibri"/>
                <w:sz w:val="22"/>
              </w:rPr>
              <w:t>~$402–$409M (33.9%–34.3% margin on guided revenue)</w:t>
            </w:r>
          </w:p>
        </w:tc>
        <w:tc>
          <w:tcPr>
            <w:tcW w:type="dxa" w:w="1234"/>
          </w:tcPr>
          <w:p>
            <w:r>
              <w:rPr>
                <w:rFonts w:ascii="Calibri" w:hAnsi="Calibri"/>
                <w:sz w:val="22"/>
              </w:rPr>
              <w:t>~+0.1% to +1.6%</w:t>
            </w:r>
          </w:p>
        </w:tc>
      </w:tr>
      <w:tr>
        <w:tc>
          <w:tcPr>
            <w:tcW w:type="dxa" w:w="1234"/>
          </w:tcPr>
          <w:p>
            <w:r>
              <w:rPr>
                <w:rFonts w:ascii="Calibri" w:hAnsi="Calibri"/>
                <w:sz w:val="22"/>
              </w:rPr>
              <w:t>Operating EPS — Diluted ($)</w:t>
            </w:r>
          </w:p>
        </w:tc>
        <w:tc>
          <w:tcPr>
            <w:tcW w:type="dxa" w:w="1234"/>
          </w:tcPr>
          <w:p>
            <w:r>
              <w:rPr>
                <w:rFonts w:ascii="Calibri" w:hAnsi="Calibri"/>
                <w:sz w:val="22"/>
              </w:rPr>
              <w:t>$3.47</w:t>
            </w:r>
          </w:p>
        </w:tc>
        <w:tc>
          <w:tcPr>
            <w:tcW w:type="dxa" w:w="1234"/>
          </w:tcPr>
          <w:p>
            <w:r>
              <w:rPr>
                <w:rFonts w:ascii="Calibri" w:hAnsi="Calibri"/>
                <w:sz w:val="22"/>
              </w:rPr>
              <w:t>$3.63</w:t>
            </w:r>
          </w:p>
        </w:tc>
        <w:tc>
          <w:tcPr>
            <w:tcW w:type="dxa" w:w="1234"/>
          </w:tcPr>
          <w:p>
            <w:r>
              <w:rPr>
                <w:rFonts w:ascii="Calibri" w:hAnsi="Calibri"/>
                <w:sz w:val="22"/>
              </w:rPr>
              <w:t>$3.92</w:t>
            </w:r>
          </w:p>
        </w:tc>
        <w:tc>
          <w:tcPr>
            <w:tcW w:type="dxa" w:w="1234"/>
          </w:tcPr>
          <w:p>
            <w:r>
              <w:rPr>
                <w:rFonts w:ascii="Calibri" w:hAnsi="Calibri"/>
                <w:sz w:val="22"/>
              </w:rPr>
              <w:t>+8.0%</w:t>
            </w:r>
          </w:p>
        </w:tc>
        <w:tc>
          <w:tcPr>
            <w:tcW w:type="dxa" w:w="1234"/>
          </w:tcPr>
          <w:p>
            <w:r>
              <w:rPr>
                <w:rFonts w:ascii="Calibri" w:hAnsi="Calibri"/>
                <w:sz w:val="22"/>
              </w:rPr>
              <w:t>N/A — no specific Q2 EPS guidance provided (FY guide: $14.45–$14.90)</w:t>
            </w:r>
          </w:p>
        </w:tc>
        <w:tc>
          <w:tcPr>
            <w:tcW w:type="dxa" w:w="1234"/>
          </w:tcPr>
          <w:p>
            <w:r>
              <w:rPr>
                <w:rFonts w:ascii="Calibri" w:hAnsi="Calibri"/>
                <w:sz w:val="22"/>
              </w:rPr>
              <w:t>N/A</w:t>
            </w:r>
          </w:p>
        </w:tc>
      </w:tr>
    </w:tbl>
    <w:p>
      <w:r>
        <w:rPr>
          <w:rFonts w:ascii="Calibri" w:hAnsi="Calibri"/>
          <w:i/>
          <w:color w:val="525866"/>
          <w:sz w:val="22"/>
        </w:rPr>
        <w:t xml:space="preserve">Sources: </w:t>
      </w:r>
      <w:r>
        <w:rPr>
          <w:rFonts w:ascii="Calibri" w:hAnsi="Calibri"/>
          <w:i/>
          <w:color w:val="525866"/>
          <w:sz w:val="22"/>
        </w:rPr>
        <w:t>Visible Alpha Consensus and Actuals Data (Total Revenue, CAG Diagnostics Recurring Revenue, CAG Diagnostics Capital Instruments, Operating Income, Operating EPS — Diluted). Q2 2026 guidance midpoints derived from IDEXX Q1 2026 Earnings Call (May 5, 2026). YoY change computed from VA actuals.</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$1,109.5M</w:t>
            </w:r>
          </w:p>
        </w:tc>
        <w:tc>
          <w:tcPr>
            <w:tcW w:type="dxa" w:w="1728"/>
          </w:tcPr>
          <w:p>
            <w:r>
              <w:rPr>
                <w:rFonts w:ascii="Calibri" w:hAnsi="Calibri"/>
                <w:sz w:val="22"/>
              </w:rPr>
              <w:t>$1,064.9M</w:t>
            </w:r>
          </w:p>
        </w:tc>
        <w:tc>
          <w:tcPr>
            <w:tcW w:type="dxa" w:w="1728"/>
          </w:tcPr>
          <w:p>
            <w:r>
              <w:rPr>
                <w:rFonts w:ascii="Calibri" w:hAnsi="Calibri"/>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$975.5M</w:t>
            </w:r>
          </w:p>
        </w:tc>
        <w:tc>
          <w:tcPr>
            <w:tcW w:type="dxa" w:w="1728"/>
          </w:tcPr>
          <w:p>
            <w:r>
              <w:rPr>
                <w:rFonts w:ascii="Calibri" w:hAnsi="Calibri"/>
                <w:sz w:val="22"/>
              </w:rPr>
              <w:t>$980.4M</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$954.3M</w:t>
            </w:r>
          </w:p>
        </w:tc>
        <w:tc>
          <w:tcPr>
            <w:tcW w:type="dxa" w:w="1728"/>
          </w:tcPr>
          <w:p>
            <w:r>
              <w:rPr>
                <w:rFonts w:ascii="Calibri" w:hAnsi="Calibri"/>
                <w:sz w:val="22"/>
              </w:rPr>
              <w:t>$935.8M</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$998.4M</w:t>
            </w:r>
          </w:p>
        </w:tc>
        <w:tc>
          <w:tcPr>
            <w:tcW w:type="dxa" w:w="1728"/>
          </w:tcPr>
          <w:p>
            <w:r>
              <w:rPr>
                <w:rFonts w:ascii="Calibri" w:hAnsi="Calibri"/>
                <w:sz w:val="22"/>
              </w:rPr>
              <w:t>$995.4M</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$1,109.5M</w:t>
            </w:r>
          </w:p>
        </w:tc>
        <w:tc>
          <w:tcPr>
            <w:tcW w:type="dxa" w:w="1728"/>
          </w:tcPr>
          <w:p>
            <w:r>
              <w:rPr>
                <w:rFonts w:ascii="Calibri" w:hAnsi="Calibri"/>
                <w:sz w:val="22"/>
              </w:rPr>
              <w:t>$1,064.9M</w:t>
            </w:r>
          </w:p>
        </w:tc>
        <w:tc>
          <w:tcPr>
            <w:tcW w:type="dxa" w:w="1728"/>
          </w:tcPr>
          <w:p>
            <w:r>
              <w:rPr>
                <w:rFonts w:ascii="Calibri" w:hAnsi="Calibri"/>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$1,105.2M</w:t>
            </w:r>
          </w:p>
        </w:tc>
        <w:tc>
          <w:tcPr>
            <w:tcW w:type="dxa" w:w="1728"/>
          </w:tcPr>
          <w:p>
            <w:r>
              <w:rPr>
                <w:rFonts w:ascii="Calibri" w:hAnsi="Calibri"/>
                <w:sz w:val="22"/>
              </w:rPr>
              <w:t>$1,069.5M</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$1,090.6M</w:t>
            </w:r>
          </w:p>
        </w:tc>
        <w:tc>
          <w:tcPr>
            <w:tcW w:type="dxa" w:w="1728"/>
          </w:tcPr>
          <w:p>
            <w:r>
              <w:rPr>
                <w:rFonts w:ascii="Calibri" w:hAnsi="Calibri"/>
                <w:sz w:val="22"/>
              </w:rPr>
              <w:t>$1,070.9M</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$1,140.8M</w:t>
            </w:r>
          </w:p>
        </w:tc>
        <w:tc>
          <w:tcPr>
            <w:tcW w:type="dxa" w:w="1728"/>
          </w:tcPr>
          <w:p>
            <w:r>
              <w:rPr>
                <w:rFonts w:ascii="Calibri" w:hAnsi="Calibri"/>
                <w:sz w:val="22"/>
              </w:rPr>
              <w:t>$1,117.1M</w:t>
            </w:r>
          </w:p>
        </w:tc>
        <w:tc>
          <w:tcPr>
            <w:tcW w:type="dxa" w:w="1728"/>
          </w:tcPr>
          <w:p>
            <w:r>
              <w:rPr>
                <w:rFonts w:ascii="Calibri" w:hAnsi="Calibri"/>
                <w:sz w:val="22"/>
              </w:rPr>
              <w:t>+2.1%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IDEXX has beaten revenue consensus in 7 of the last 8 quarters, with the sole miss (Q3 2024, -0.5%) being marginal; the consistent beat pattern reflects management's conservative guidance philosophy and strong commercial execution.</w:t>
      </w:r>
    </w:p>
    <w:p>
      <w:pPr>
        <w:pStyle w:val="Heading3"/>
      </w:pPr>
      <w:r>
        <w:rPr>
          <w:rFonts w:ascii="Calibri" w:hAnsi="Calibri"/>
          <w:b/>
          <w:color w:val="3B4259"/>
          <w:sz w:val="24"/>
        </w:rPr>
        <w:t>KPI 2: Operating EPS —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$3.63</w:t>
            </w:r>
          </w:p>
        </w:tc>
        <w:tc>
          <w:tcPr>
            <w:tcW w:type="dxa" w:w="1728"/>
          </w:tcPr>
          <w:p>
            <w:r>
              <w:rPr>
                <w:rFonts w:ascii="Calibri" w:hAnsi="Calibri"/>
                <w:sz w:val="22"/>
              </w:rPr>
              <w:t>$3.30</w:t>
            </w:r>
          </w:p>
        </w:tc>
        <w:tc>
          <w:tcPr>
            <w:tcW w:type="dxa" w:w="1728"/>
          </w:tcPr>
          <w:p>
            <w:r>
              <w:rPr>
                <w:rFonts w:ascii="Calibri" w:hAnsi="Calibri"/>
                <w:sz w:val="22"/>
              </w:rPr>
              <w:t>+10.0%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$2.80</w:t>
            </w:r>
          </w:p>
        </w:tc>
        <w:tc>
          <w:tcPr>
            <w:tcW w:type="dxa" w:w="1728"/>
          </w:tcPr>
          <w:p>
            <w:r>
              <w:rPr>
                <w:rFonts w:ascii="Calibri" w:hAnsi="Calibri"/>
                <w:sz w:val="22"/>
              </w:rPr>
              <w:t>$2.70</w:t>
            </w:r>
          </w:p>
        </w:tc>
        <w:tc>
          <w:tcPr>
            <w:tcW w:type="dxa" w:w="1728"/>
          </w:tcPr>
          <w:p>
            <w:r>
              <w:rPr>
                <w:rFonts w:ascii="Calibri" w:hAnsi="Calibri"/>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$2.62</w:t>
            </w:r>
          </w:p>
        </w:tc>
        <w:tc>
          <w:tcPr>
            <w:tcW w:type="dxa" w:w="1728"/>
          </w:tcPr>
          <w:p>
            <w:r>
              <w:rPr>
                <w:rFonts w:ascii="Calibri" w:hAnsi="Calibri"/>
                <w:sz w:val="22"/>
              </w:rPr>
              <w:t>$2.42</w:t>
            </w:r>
          </w:p>
        </w:tc>
        <w:tc>
          <w:tcPr>
            <w:tcW w:type="dxa" w:w="1728"/>
          </w:tcPr>
          <w:p>
            <w:r>
              <w:rPr>
                <w:rFonts w:ascii="Calibri" w:hAnsi="Calibri"/>
                <w:sz w:val="22"/>
              </w:rPr>
              <w:t>+8.1%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$2.96</w:t>
            </w:r>
          </w:p>
        </w:tc>
        <w:tc>
          <w:tcPr>
            <w:tcW w:type="dxa" w:w="1728"/>
          </w:tcPr>
          <w:p>
            <w:r>
              <w:rPr>
                <w:rFonts w:ascii="Calibri" w:hAnsi="Calibri"/>
                <w:sz w:val="22"/>
              </w:rPr>
              <w:t>$2.83</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$3.63</w:t>
            </w:r>
          </w:p>
        </w:tc>
        <w:tc>
          <w:tcPr>
            <w:tcW w:type="dxa" w:w="1728"/>
          </w:tcPr>
          <w:p>
            <w:r>
              <w:rPr>
                <w:rFonts w:ascii="Calibri" w:hAnsi="Calibri"/>
                <w:sz w:val="22"/>
              </w:rPr>
              <w:t>$3.30</w:t>
            </w:r>
          </w:p>
        </w:tc>
        <w:tc>
          <w:tcPr>
            <w:tcW w:type="dxa" w:w="1728"/>
          </w:tcPr>
          <w:p>
            <w:r>
              <w:rPr>
                <w:rFonts w:ascii="Calibri" w:hAnsi="Calibri"/>
                <w:sz w:val="22"/>
              </w:rPr>
              <w:t>+10.0%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$3.40</w:t>
            </w:r>
          </w:p>
        </w:tc>
        <w:tc>
          <w:tcPr>
            <w:tcW w:type="dxa" w:w="1728"/>
          </w:tcPr>
          <w:p>
            <w:r>
              <w:rPr>
                <w:rFonts w:ascii="Calibri" w:hAnsi="Calibri"/>
                <w:sz w:val="22"/>
              </w:rPr>
              <w:t>$3.16</w:t>
            </w:r>
          </w:p>
        </w:tc>
        <w:tc>
          <w:tcPr>
            <w:tcW w:type="dxa" w:w="1728"/>
          </w:tcPr>
          <w:p>
            <w:r>
              <w:rPr>
                <w:rFonts w:ascii="Calibri" w:hAnsi="Calibri"/>
                <w:sz w:val="22"/>
              </w:rPr>
              <w:t>+7.9%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$3.08</w:t>
            </w:r>
          </w:p>
        </w:tc>
        <w:tc>
          <w:tcPr>
            <w:tcW w:type="dxa" w:w="1728"/>
          </w:tcPr>
          <w:p>
            <w:r>
              <w:rPr>
                <w:rFonts w:ascii="Calibri" w:hAnsi="Calibri"/>
                <w:sz w:val="22"/>
              </w:rPr>
              <w:t>$2.95</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$3.47</w:t>
            </w:r>
          </w:p>
        </w:tc>
        <w:tc>
          <w:tcPr>
            <w:tcW w:type="dxa" w:w="1728"/>
          </w:tcPr>
          <w:p>
            <w:r>
              <w:rPr>
                <w:rFonts w:ascii="Calibri" w:hAnsi="Calibri"/>
                <w:sz w:val="22"/>
              </w:rPr>
              <w:t>$3.39</w:t>
            </w:r>
          </w:p>
        </w:tc>
        <w:tc>
          <w:tcPr>
            <w:tcW w:type="dxa" w:w="1728"/>
          </w:tcPr>
          <w:p>
            <w:r>
              <w:rPr>
                <w:rFonts w:ascii="Calibri" w:hAnsi="Calibri"/>
                <w:sz w:val="22"/>
              </w:rPr>
              <w:t>+2.4%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IDEXX has beaten operating EPS consensus in all 8 of the last 8 quarters, with beats ranging from +2.4% (Q1 2026) to +10.0% (Q2 2024/Q2 2025); the magnitude of beats has compressed in recent quarters, consistent with a tighter guidance range and more accurate Street modeling.</w:t>
      </w:r>
    </w:p>
    <w:p>
      <w:r>
        <w:rPr>
          <w:rFonts w:ascii="Calibri" w:hAnsi="Calibri"/>
          <w:i/>
          <w:color w:val="525866"/>
          <w:sz w:val="22"/>
        </w:rPr>
        <w:t xml:space="preserve">Source: </w:t>
      </w:r>
      <w:r>
        <w:rPr>
          <w:rFonts w:ascii="Calibri" w:hAnsi="Calibri"/>
          <w:i/>
          <w:color w:val="525866"/>
          <w:sz w:val="22"/>
        </w:rPr>
        <w:t>Visible Alpha Consensus and Actuals Data (all reported and consensus figures above).</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raised at Q1 2026 earnings (May 5) and has not been formally revised since; management's tone is the most confident it has been in several quarters, with the raise driven entirely by volume — a higher-quality signal than a pricing-driven lift. </w:t>
      </w:r>
      <w:r>
        <w:rPr>
          <w:rFonts w:ascii="Calibri" w:hAnsi="Calibri"/>
          <w:b/>
          <w:color w:val="525866"/>
          <w:sz w:val="22"/>
        </w:rPr>
        <w:t>No post-earnings guidance updates have been issued</w:t>
      </w:r>
      <w:r>
        <w:rPr>
          <w:rFonts w:ascii="Calibri" w:hAnsi="Calibri"/>
          <w:color w:val="525866"/>
          <w:sz w:val="22"/>
        </w:rPr>
        <w:t>, so the Q1 call remains the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Reported Revenue Growth</w:t>
            </w:r>
          </w:p>
        </w:tc>
        <w:tc>
          <w:tcPr>
            <w:tcW w:type="dxa" w:w="1728"/>
          </w:tcPr>
          <w:p>
            <w:r>
              <w:rPr>
                <w:rFonts w:ascii="Calibri" w:hAnsi="Calibri"/>
                <w:sz w:val="22"/>
              </w:rPr>
              <w:t>7.3%–9.3% reported (incl. ~60 bps FX benefit)</w:t>
            </w:r>
          </w:p>
        </w:tc>
        <w:tc>
          <w:tcPr>
            <w:tcW w:type="dxa" w:w="1728"/>
          </w:tcPr>
          <w:p>
            <w:r>
              <w:rPr>
                <w:rFonts w:ascii="Calibri" w:hAnsi="Calibri"/>
                <w:sz w:val="22"/>
              </w:rPr>
              <w:t>—</w:t>
            </w:r>
          </w:p>
        </w:tc>
        <w:tc>
          <w:tcPr>
            <w:tcW w:type="dxa" w:w="1728"/>
          </w:tcPr>
          <w:p>
            <w:r>
              <w:rPr>
                <w:rFonts w:ascii="Calibri" w:hAnsi="Calibri"/>
                <w:sz w:val="22"/>
              </w:rPr>
              <w:t>$1,198.3M (+8.0% YoY)</w:t>
            </w:r>
          </w:p>
        </w:tc>
        <w:tc>
          <w:tcPr>
            <w:tcW w:type="dxa" w:w="1728"/>
          </w:tcPr>
          <w:p>
            <w:r>
              <w:rPr>
                <w:rFonts w:ascii="Calibri" w:hAnsi="Calibri"/>
                <w:sz w:val="22"/>
              </w:rPr>
              <w:t>No post-earnings revision; consensus sits at the high end of the guided range</w:t>
            </w:r>
          </w:p>
        </w:tc>
      </w:tr>
      <w:tr>
        <w:tc>
          <w:tcPr>
            <w:tcW w:type="dxa" w:w="1728"/>
          </w:tcPr>
          <w:p>
            <w:r>
              <w:rPr>
                <w:rFonts w:ascii="Calibri" w:hAnsi="Calibri"/>
                <w:sz w:val="22"/>
              </w:rPr>
              <w:t>Q2 2026 CAG Dx Recurring Revenue Organic Growth</w:t>
            </w:r>
          </w:p>
        </w:tc>
        <w:tc>
          <w:tcPr>
            <w:tcW w:type="dxa" w:w="1728"/>
          </w:tcPr>
          <w:p>
            <w:r>
              <w:rPr>
                <w:rFonts w:ascii="Calibri" w:hAnsi="Calibri"/>
                <w:sz w:val="22"/>
              </w:rPr>
              <w:t>8.5%–10.5% organic</w:t>
            </w:r>
          </w:p>
        </w:tc>
        <w:tc>
          <w:tcPr>
            <w:tcW w:type="dxa" w:w="1728"/>
          </w:tcPr>
          <w:p>
            <w:r>
              <w:rPr>
                <w:rFonts w:ascii="Calibri" w:hAnsi="Calibri"/>
                <w:sz w:val="22"/>
              </w:rPr>
              <w:t>—</w:t>
            </w:r>
          </w:p>
        </w:tc>
        <w:tc>
          <w:tcPr>
            <w:tcW w:type="dxa" w:w="1728"/>
          </w:tcPr>
          <w:p>
            <w:r>
              <w:rPr>
                <w:rFonts w:ascii="Calibri" w:hAnsi="Calibri"/>
                <w:sz w:val="22"/>
              </w:rPr>
              <w:t>$962.9M (~9.7% YoY)</w:t>
            </w:r>
          </w:p>
        </w:tc>
        <w:tc>
          <w:tcPr>
            <w:tcW w:type="dxa" w:w="1728"/>
          </w:tcPr>
          <w:p>
            <w:r>
              <w:rPr>
                <w:rFonts w:ascii="Calibri" w:hAnsi="Calibri"/>
                <w:sz w:val="22"/>
              </w:rPr>
              <w:t>No revision; consensus implies growth near midpoint of guided range</w:t>
            </w:r>
          </w:p>
        </w:tc>
      </w:tr>
      <w:tr>
        <w:tc>
          <w:tcPr>
            <w:tcW w:type="dxa" w:w="1728"/>
          </w:tcPr>
          <w:p>
            <w:r>
              <w:rPr>
                <w:rFonts w:ascii="Calibri" w:hAnsi="Calibri"/>
                <w:sz w:val="22"/>
              </w:rPr>
              <w:t>Q2 2026 Reported Operating Margin</w:t>
            </w:r>
          </w:p>
        </w:tc>
        <w:tc>
          <w:tcPr>
            <w:tcW w:type="dxa" w:w="1728"/>
          </w:tcPr>
          <w:p>
            <w:r>
              <w:rPr>
                <w:rFonts w:ascii="Calibri" w:hAnsi="Calibri"/>
                <w:sz w:val="22"/>
              </w:rPr>
              <w:t>33.9%–34.3% (10–50 bps comparable expansion)</w:t>
            </w:r>
          </w:p>
        </w:tc>
        <w:tc>
          <w:tcPr>
            <w:tcW w:type="dxa" w:w="1728"/>
          </w:tcPr>
          <w:p>
            <w:r>
              <w:rPr>
                <w:rFonts w:ascii="Calibri" w:hAnsi="Calibri"/>
                <w:sz w:val="22"/>
              </w:rPr>
              <w:t>—</w:t>
            </w:r>
          </w:p>
        </w:tc>
        <w:tc>
          <w:tcPr>
            <w:tcW w:type="dxa" w:w="1728"/>
          </w:tcPr>
          <w:p>
            <w:r>
              <w:rPr>
                <w:rFonts w:ascii="Calibri" w:hAnsi="Calibri"/>
                <w:sz w:val="22"/>
              </w:rPr>
              <w:t>~34.1% implied (Operating Income consensus $408.3M / Revenue $1,198.3M)</w:t>
            </w:r>
          </w:p>
        </w:tc>
        <w:tc>
          <w:tcPr>
            <w:tcW w:type="dxa" w:w="1728"/>
          </w:tcPr>
          <w:p>
            <w:r>
              <w:rPr>
                <w:rFonts w:ascii="Calibri" w:hAnsi="Calibri"/>
                <w:sz w:val="22"/>
              </w:rPr>
              <w:t>No revision; consensus at midpoint of guided range; mgmt flagged elevated Q2 project spending</w:t>
            </w:r>
          </w:p>
        </w:tc>
      </w:tr>
      <w:tr>
        <w:tc>
          <w:tcPr>
            <w:tcW w:type="dxa" w:w="1728"/>
          </w:tcPr>
          <w:p>
            <w:r>
              <w:rPr>
                <w:rFonts w:ascii="Calibri" w:hAnsi="Calibri"/>
                <w:sz w:val="22"/>
              </w:rPr>
              <w:t>Q2 2026 Organic Revenue Growth</w:t>
            </w:r>
          </w:p>
        </w:tc>
        <w:tc>
          <w:tcPr>
            <w:tcW w:type="dxa" w:w="1728"/>
          </w:tcPr>
          <w:p>
            <w:r>
              <w:rPr>
                <w:rFonts w:ascii="Calibri" w:hAnsi="Calibri"/>
                <w:sz w:val="22"/>
              </w:rPr>
              <w:t>6.7%–8.7% organic (incl. -50 bps equivalent days headwind)</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No revision; equivalent days headwind is a known Q2 drag</w:t>
            </w:r>
          </w:p>
        </w:tc>
      </w:tr>
      <w:tr>
        <w:tc>
          <w:tcPr>
            <w:tcW w:type="dxa" w:w="1728"/>
          </w:tcPr>
          <w:p>
            <w:r>
              <w:rPr>
                <w:rFonts w:ascii="Calibri" w:hAnsi="Calibri"/>
                <w:sz w:val="22"/>
              </w:rPr>
              <w:t>FY 2026 Total Revenue</w:t>
            </w:r>
          </w:p>
        </w:tc>
        <w:tc>
          <w:tcPr>
            <w:tcW w:type="dxa" w:w="1728"/>
          </w:tcPr>
          <w:p>
            <w:r>
              <w:rPr>
                <w:rFonts w:ascii="Calibri" w:hAnsi="Calibri"/>
                <w:sz w:val="22"/>
              </w:rPr>
              <w:t>$4.675B–$4.760B (raised $42M at midpoint vs. prior guide; 8.6%–10.6% reported growth)</w:t>
            </w:r>
          </w:p>
        </w:tc>
        <w:tc>
          <w:tcPr>
            <w:tcW w:type="dxa" w:w="1728"/>
          </w:tcPr>
          <w:p>
            <w:r>
              <w:rPr>
                <w:rFonts w:ascii="Calibri" w:hAnsi="Calibri"/>
                <w:sz w:val="22"/>
              </w:rPr>
              <w:t>—</w:t>
            </w:r>
          </w:p>
        </w:tc>
        <w:tc>
          <w:tcPr>
            <w:tcW w:type="dxa" w:w="1728"/>
          </w:tcPr>
          <w:p>
            <w:r>
              <w:rPr>
                <w:rFonts w:ascii="Calibri" w:hAnsi="Calibri"/>
                <w:sz w:val="22"/>
              </w:rPr>
              <w:t>$4,705.5M</w:t>
            </w:r>
          </w:p>
        </w:tc>
        <w:tc>
          <w:tcPr>
            <w:tcW w:type="dxa" w:w="1728"/>
          </w:tcPr>
          <w:p>
            <w:r>
              <w:rPr>
                <w:rFonts w:ascii="Calibri" w:hAnsi="Calibri"/>
                <w:sz w:val="22"/>
              </w:rPr>
              <w:t>No post-earnings revision; consensus at midpoint of raised range; raise was entirely volume-driven</w:t>
            </w:r>
          </w:p>
        </w:tc>
      </w:tr>
      <w:tr>
        <w:tc>
          <w:tcPr>
            <w:tcW w:type="dxa" w:w="1728"/>
          </w:tcPr>
          <w:p>
            <w:r>
              <w:rPr>
                <w:rFonts w:ascii="Calibri" w:hAnsi="Calibri"/>
                <w:sz w:val="22"/>
              </w:rPr>
              <w:t>FY 2026 Operating EPS — Diluted</w:t>
            </w:r>
          </w:p>
        </w:tc>
        <w:tc>
          <w:tcPr>
            <w:tcW w:type="dxa" w:w="1728"/>
          </w:tcPr>
          <w:p>
            <w:r>
              <w:rPr>
                <w:rFonts w:ascii="Calibri" w:hAnsi="Calibri"/>
                <w:sz w:val="22"/>
              </w:rPr>
              <w:t>$14.45–$14.90 (raised $0.13 at midpoint; 11%–15% comparable EPS growth)</w:t>
            </w:r>
          </w:p>
        </w:tc>
        <w:tc>
          <w:tcPr>
            <w:tcW w:type="dxa" w:w="1728"/>
          </w:tcPr>
          <w:p>
            <w:r>
              <w:rPr>
                <w:rFonts w:ascii="Calibri" w:hAnsi="Calibri"/>
                <w:sz w:val="22"/>
              </w:rPr>
              <w:t>—</w:t>
            </w:r>
          </w:p>
        </w:tc>
        <w:tc>
          <w:tcPr>
            <w:tcW w:type="dxa" w:w="1728"/>
          </w:tcPr>
          <w:p>
            <w:r>
              <w:rPr>
                <w:rFonts w:ascii="Calibri" w:hAnsi="Calibri"/>
                <w:sz w:val="22"/>
              </w:rPr>
              <w:t>$14.66</w:t>
            </w:r>
          </w:p>
        </w:tc>
        <w:tc>
          <w:tcPr>
            <w:tcW w:type="dxa" w:w="1728"/>
          </w:tcPr>
          <w:p>
            <w:r>
              <w:rPr>
                <w:rFonts w:ascii="Calibri" w:hAnsi="Calibri"/>
                <w:sz w:val="22"/>
              </w:rPr>
              <w:t>No revision; consensus near midpoint; includes $0.05 FX benefit and $0.05 equity investment loss headwind</w:t>
            </w:r>
          </w:p>
        </w:tc>
      </w:tr>
      <w:tr>
        <w:tc>
          <w:tcPr>
            <w:tcW w:type="dxa" w:w="1728"/>
          </w:tcPr>
          <w:p>
            <w:r>
              <w:rPr>
                <w:rFonts w:ascii="Calibri" w:hAnsi="Calibri"/>
                <w:sz w:val="22"/>
              </w:rPr>
              <w:t>FY 2026 Reported Operating Margin</w:t>
            </w:r>
          </w:p>
        </w:tc>
        <w:tc>
          <w:tcPr>
            <w:tcW w:type="dxa" w:w="1728"/>
          </w:tcPr>
          <w:p>
            <w:r>
              <w:rPr>
                <w:rFonts w:ascii="Calibri" w:hAnsi="Calibri"/>
                <w:sz w:val="22"/>
              </w:rPr>
              <w:t>32.1%–32.5% (50–90 bps comparable improvement)</w:t>
            </w:r>
          </w:p>
        </w:tc>
        <w:tc>
          <w:tcPr>
            <w:tcW w:type="dxa" w:w="1728"/>
          </w:tcPr>
          <w:p>
            <w:r>
              <w:rPr>
                <w:rFonts w:ascii="Calibri" w:hAnsi="Calibri"/>
                <w:sz w:val="22"/>
              </w:rPr>
              <w:t>—</w:t>
            </w:r>
          </w:p>
        </w:tc>
        <w:tc>
          <w:tcPr>
            <w:tcW w:type="dxa" w:w="1728"/>
          </w:tcPr>
          <w:p>
            <w:r>
              <w:rPr>
                <w:rFonts w:ascii="Calibri" w:hAnsi="Calibri"/>
                <w:sz w:val="22"/>
              </w:rPr>
              <w:t>~32.3% implied</w:t>
            </w:r>
          </w:p>
        </w:tc>
        <w:tc>
          <w:tcPr>
            <w:tcW w:type="dxa" w:w="1728"/>
          </w:tcPr>
          <w:p>
            <w:r>
              <w:rPr>
                <w:rFonts w:ascii="Calibri" w:hAnsi="Calibri"/>
                <w:sz w:val="22"/>
              </w:rPr>
              <w:t>No revision; 30 bps headwind from discrete litigation expense and equity investment loss, offset by 30 bps FX benefit</w:t>
            </w:r>
          </w:p>
        </w:tc>
      </w:tr>
      <w:tr>
        <w:tc>
          <w:tcPr>
            <w:tcW w:type="dxa" w:w="1728"/>
          </w:tcPr>
          <w:p>
            <w:r>
              <w:rPr>
                <w:rFonts w:ascii="Calibri" w:hAnsi="Calibri"/>
                <w:sz w:val="22"/>
              </w:rPr>
              <w:t>FY 2026 U.S. Clinical Visit Growth</w:t>
            </w:r>
          </w:p>
        </w:tc>
        <w:tc>
          <w:tcPr>
            <w:tcW w:type="dxa" w:w="1728"/>
          </w:tcPr>
          <w:p>
            <w:r>
              <w:rPr>
                <w:rFonts w:ascii="Calibri" w:hAnsi="Calibri"/>
                <w:sz w:val="22"/>
              </w:rPr>
              <w:t>-1.5% (improved from prior -2.0% assumption)</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Modestly improved assumption; Q1 actual was -1%; green shoots in pets 5+ years old for third consecutive quarter</w:t>
            </w:r>
          </w:p>
        </w:tc>
      </w:tr>
      <w:tr>
        <w:tc>
          <w:tcPr>
            <w:tcW w:type="dxa" w:w="1728"/>
          </w:tcPr>
          <w:p>
            <w:r>
              <w:rPr>
                <w:rFonts w:ascii="Calibri" w:hAnsi="Calibri"/>
                <w:sz w:val="22"/>
              </w:rPr>
              <w:t>inVue Dx FY 2026 Placements</w:t>
            </w:r>
          </w:p>
        </w:tc>
        <w:tc>
          <w:tcPr>
            <w:tcW w:type="dxa" w:w="1728"/>
          </w:tcPr>
          <w:p>
            <w:r>
              <w:rPr>
                <w:rFonts w:ascii="Calibri" w:hAnsi="Calibri"/>
                <w:sz w:val="22"/>
              </w:rPr>
              <w:t>5,500 units (on track; 1,100 placed in Q1)</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No revision; Q2 FNA launch broadening underway; full volume ramp expected H2 2026</w:t>
            </w:r>
          </w:p>
        </w:tc>
      </w:tr>
    </w:tbl>
    <w:p>
      <w:r>
        <w:rPr>
          <w:rFonts w:ascii="Calibri" w:hAnsi="Calibri"/>
          <w:i/>
          <w:color w:val="525866"/>
          <w:sz w:val="22"/>
        </w:rPr>
        <w:t xml:space="preserve">Sources: </w:t>
      </w:r>
      <w:r>
        <w:rPr>
          <w:rFonts w:ascii="Calibri" w:hAnsi="Calibri"/>
          <w:i/>
          <w:color w:val="525866"/>
          <w:sz w:val="22"/>
        </w:rPr>
        <w:t>IDEXX Q1 2026 Earnings Call transcript (May 5, 2026); Visible Alpha Consensus and Actuals Data (consensus figures).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post-Q1 baseline — revenue and EPS revisions are essentially flat (revenue down &lt;0.1%, EPS down ~0.3%) — indicating the Street has fully absorbed the Q1 guidance raise with no incremental positive or negative catalysts since. </w:t>
      </w:r>
      <w:r>
        <w:rPr>
          <w:rFonts w:ascii="Calibri" w:hAnsi="Calibri"/>
          <w:b/>
          <w:color w:val="525866"/>
          <w:sz w:val="22"/>
        </w:rPr>
        <w:t>The absence of downward revisions is a mild positive</w:t>
      </w:r>
      <w:r>
        <w:rPr>
          <w:rFonts w:ascii="Calibri" w:hAnsi="Calibri"/>
          <w:color w:val="525866"/>
          <w:sz w:val="22"/>
        </w:rPr>
        <w:t>; the absence of upward revisions suggests the market is waiting for Q2 execution proof before re-rating.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8,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$1,198.5M</w:t>
            </w:r>
          </w:p>
        </w:tc>
        <w:tc>
          <w:tcPr>
            <w:tcW w:type="dxa" w:w="1080"/>
          </w:tcPr>
          <w:p>
            <w:r>
              <w:rPr>
                <w:rFonts w:ascii="Calibri" w:hAnsi="Calibri"/>
                <w:sz w:val="22"/>
              </w:rPr>
              <w:t>$1,198.3M</w:t>
            </w:r>
          </w:p>
        </w:tc>
        <w:tc>
          <w:tcPr>
            <w:tcW w:type="dxa" w:w="1080"/>
          </w:tcPr>
          <w:p>
            <w:r>
              <w:rPr>
                <w:rFonts w:ascii="Calibri" w:hAnsi="Calibri"/>
                <w:sz w:val="22"/>
              </w:rPr>
              <w:t>-0.02%</w:t>
            </w:r>
          </w:p>
        </w:tc>
        <w:tc>
          <w:tcPr>
            <w:tcW w:type="dxa" w:w="1080"/>
          </w:tcPr>
          <w:p>
            <w:r>
              <w:rPr>
                <w:rFonts w:ascii="Calibri" w:hAnsi="Calibri"/>
                <w:sz w:val="22"/>
              </w:rPr>
              <w:t>$1,183M–$1,202M (7.3%–9.3%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vs. midpoint (~$1,190M)</w:t>
            </w:r>
          </w:p>
        </w:tc>
      </w:tr>
      <w:tr>
        <w:tc>
          <w:tcPr>
            <w:tcW w:type="dxa" w:w="1080"/>
          </w:tcPr>
          <w:p>
            <w:r>
              <w:rPr>
                <w:rFonts w:ascii="Calibri" w:hAnsi="Calibri"/>
                <w:sz w:val="22"/>
              </w:rPr>
              <w:t>Total Revenue — FY 2026</w:t>
            </w:r>
          </w:p>
        </w:tc>
        <w:tc>
          <w:tcPr>
            <w:tcW w:type="dxa" w:w="1080"/>
          </w:tcPr>
          <w:p>
            <w:r>
              <w:rPr>
                <w:rFonts w:ascii="Calibri" w:hAnsi="Calibri"/>
                <w:sz w:val="22"/>
              </w:rPr>
              <w:t>$4,704.3M</w:t>
            </w:r>
          </w:p>
        </w:tc>
        <w:tc>
          <w:tcPr>
            <w:tcW w:type="dxa" w:w="1080"/>
          </w:tcPr>
          <w:p>
            <w:r>
              <w:rPr>
                <w:rFonts w:ascii="Calibri" w:hAnsi="Calibri"/>
                <w:sz w:val="22"/>
              </w:rPr>
              <w:t>$4,705.5M</w:t>
            </w:r>
          </w:p>
        </w:tc>
        <w:tc>
          <w:tcPr>
            <w:tcW w:type="dxa" w:w="1080"/>
          </w:tcPr>
          <w:p>
            <w:r>
              <w:rPr>
                <w:rFonts w:ascii="Calibri" w:hAnsi="Calibri"/>
                <w:sz w:val="22"/>
              </w:rPr>
              <w:t>+0.02%</w:t>
            </w:r>
          </w:p>
        </w:tc>
        <w:tc>
          <w:tcPr>
            <w:tcW w:type="dxa" w:w="1080"/>
          </w:tcPr>
          <w:p>
            <w:r>
              <w:rPr>
                <w:rFonts w:ascii="Calibri" w:hAnsi="Calibri"/>
                <w:sz w:val="22"/>
              </w:rPr>
              <w:t>$4,675M–$4,760M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midpoint ($4,717.5M)</w:t>
            </w:r>
          </w:p>
        </w:tc>
      </w:tr>
      <w:tr>
        <w:tc>
          <w:tcPr>
            <w:tcW w:type="dxa" w:w="1080"/>
          </w:tcPr>
          <w:p>
            <w:r>
              <w:rPr>
                <w:rFonts w:ascii="Calibri" w:hAnsi="Calibri"/>
                <w:sz w:val="22"/>
              </w:rPr>
              <w:t>Operating EPS — Q2 2026</w:t>
            </w:r>
          </w:p>
        </w:tc>
        <w:tc>
          <w:tcPr>
            <w:tcW w:type="dxa" w:w="1080"/>
          </w:tcPr>
          <w:p>
            <w:r>
              <w:rPr>
                <w:rFonts w:ascii="Calibri" w:hAnsi="Calibri"/>
                <w:sz w:val="22"/>
              </w:rPr>
              <w:t>$3.93</w:t>
            </w:r>
          </w:p>
        </w:tc>
        <w:tc>
          <w:tcPr>
            <w:tcW w:type="dxa" w:w="1080"/>
          </w:tcPr>
          <w:p>
            <w:r>
              <w:rPr>
                <w:rFonts w:ascii="Calibri" w:hAnsi="Calibri"/>
                <w:sz w:val="22"/>
              </w:rPr>
              <w:t>$3.92</w:t>
            </w:r>
          </w:p>
        </w:tc>
        <w:tc>
          <w:tcPr>
            <w:tcW w:type="dxa" w:w="1080"/>
          </w:tcPr>
          <w:p>
            <w:r>
              <w:rPr>
                <w:rFonts w:ascii="Calibri" w:hAnsi="Calibri"/>
                <w:sz w:val="22"/>
              </w:rPr>
              <w:t>-0.23%</w:t>
            </w:r>
          </w:p>
        </w:tc>
        <w:tc>
          <w:tcPr>
            <w:tcW w:type="dxa" w:w="1080"/>
          </w:tcPr>
          <w:p>
            <w:r>
              <w:rPr>
                <w:rFonts w:ascii="Calibri" w:hAnsi="Calibri"/>
                <w:sz w:val="22"/>
              </w:rPr>
              <w:t>N/A (FY guide: $14.45–$14.90)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$14.62</w:t>
            </w:r>
          </w:p>
        </w:tc>
        <w:tc>
          <w:tcPr>
            <w:tcW w:type="dxa" w:w="1080"/>
          </w:tcPr>
          <w:p>
            <w:r>
              <w:rPr>
                <w:rFonts w:ascii="Calibri" w:hAnsi="Calibri"/>
                <w:sz w:val="22"/>
              </w:rPr>
              <w:t>$14.66</w:t>
            </w:r>
          </w:p>
        </w:tc>
        <w:tc>
          <w:tcPr>
            <w:tcW w:type="dxa" w:w="1080"/>
          </w:tcPr>
          <w:p>
            <w:r>
              <w:rPr>
                <w:rFonts w:ascii="Calibri" w:hAnsi="Calibri"/>
                <w:sz w:val="22"/>
              </w:rPr>
              <w:t>+0.27%</w:t>
            </w:r>
          </w:p>
        </w:tc>
        <w:tc>
          <w:tcPr>
            <w:tcW w:type="dxa" w:w="1080"/>
          </w:tcPr>
          <w:p>
            <w:r>
              <w:rPr>
                <w:rFonts w:ascii="Calibri" w:hAnsi="Calibri"/>
                <w:sz w:val="22"/>
              </w:rPr>
              <w:t>$14.45–$14.90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midpoint ($14.675)</w:t>
            </w:r>
          </w:p>
        </w:tc>
      </w:tr>
      <w:tr>
        <w:tc>
          <w:tcPr>
            <w:tcW w:type="dxa" w:w="1080"/>
          </w:tcPr>
          <w:p>
            <w:r>
              <w:rPr>
                <w:rFonts w:ascii="Calibri" w:hAnsi="Calibri"/>
                <w:sz w:val="22"/>
              </w:rPr>
              <w:t>CAG Dx Recurring Revenue — Q2 2026</w:t>
            </w:r>
          </w:p>
        </w:tc>
        <w:tc>
          <w:tcPr>
            <w:tcW w:type="dxa" w:w="1080"/>
          </w:tcPr>
          <w:p>
            <w:r>
              <w:rPr>
                <w:rFonts w:ascii="Calibri" w:hAnsi="Calibri"/>
                <w:sz w:val="22"/>
              </w:rPr>
              <w:t>$962.9M</w:t>
            </w:r>
          </w:p>
        </w:tc>
        <w:tc>
          <w:tcPr>
            <w:tcW w:type="dxa" w:w="1080"/>
          </w:tcPr>
          <w:p>
            <w:r>
              <w:rPr>
                <w:rFonts w:ascii="Calibri" w:hAnsi="Calibri"/>
                <w:sz w:val="22"/>
              </w:rPr>
              <w:t>$962.9M</w:t>
            </w:r>
          </w:p>
        </w:tc>
        <w:tc>
          <w:tcPr>
            <w:tcW w:type="dxa" w:w="1080"/>
          </w:tcPr>
          <w:p>
            <w:r>
              <w:rPr>
                <w:rFonts w:ascii="Calibri" w:hAnsi="Calibri"/>
                <w:sz w:val="22"/>
              </w:rPr>
              <w:t>0.00%</w:t>
            </w:r>
          </w:p>
        </w:tc>
        <w:tc>
          <w:tcPr>
            <w:tcW w:type="dxa" w:w="1080"/>
          </w:tcPr>
          <w:p>
            <w:r>
              <w:rPr>
                <w:rFonts w:ascii="Calibri" w:hAnsi="Calibri"/>
                <w:sz w:val="22"/>
              </w:rPr>
              <w:t>8.5%–10.5%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vs. midpoint (~$955M)</w:t>
            </w:r>
          </w:p>
        </w:tc>
      </w:tr>
      <w:tr>
        <w:tc>
          <w:tcPr>
            <w:tcW w:type="dxa" w:w="1080"/>
          </w:tcPr>
          <w:p>
            <w:r>
              <w:rPr>
                <w:rFonts w:ascii="Calibri" w:hAnsi="Calibri"/>
                <w:sz w:val="22"/>
              </w:rPr>
              <w:t>CAG Dx Recurring Revenue — FY 2026</w:t>
            </w:r>
          </w:p>
        </w:tc>
        <w:tc>
          <w:tcPr>
            <w:tcW w:type="dxa" w:w="1080"/>
          </w:tcPr>
          <w:p>
            <w:r>
              <w:rPr>
                <w:rFonts w:ascii="Calibri" w:hAnsi="Calibri"/>
                <w:sz w:val="22"/>
              </w:rPr>
              <w:t>$3,762.2M</w:t>
            </w:r>
          </w:p>
        </w:tc>
        <w:tc>
          <w:tcPr>
            <w:tcW w:type="dxa" w:w="1080"/>
          </w:tcPr>
          <w:p>
            <w:r>
              <w:rPr>
                <w:rFonts w:ascii="Calibri" w:hAnsi="Calibri"/>
                <w:sz w:val="22"/>
              </w:rPr>
              <w:t>$3,762.5M</w:t>
            </w:r>
          </w:p>
        </w:tc>
        <w:tc>
          <w:tcPr>
            <w:tcW w:type="dxa" w:w="1080"/>
          </w:tcPr>
          <w:p>
            <w:r>
              <w:rPr>
                <w:rFonts w:ascii="Calibri" w:hAnsi="Calibri"/>
                <w:sz w:val="22"/>
              </w:rPr>
              <w:t>+0.01%</w:t>
            </w:r>
          </w:p>
        </w:tc>
        <w:tc>
          <w:tcPr>
            <w:tcW w:type="dxa" w:w="1080"/>
          </w:tcPr>
          <w:p>
            <w:r>
              <w:rPr>
                <w:rFonts w:ascii="Calibri" w:hAnsi="Calibri"/>
                <w:sz w:val="22"/>
              </w:rPr>
              <w:t>8.7%–10.7%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organic growth guidance not directly comparable to reported consensus</w:t>
            </w:r>
          </w:p>
        </w:tc>
      </w:tr>
    </w:tbl>
    <w:p>
      <w:r>
        <w:rPr>
          <w:rFonts w:ascii="Calibri" w:hAnsi="Calibri"/>
          <w:color w:val="525866"/>
          <w:sz w:val="22"/>
        </w:rPr>
        <w:t>Estimates have been essentially frozen since the post-Q1 baseline, with all key KPIs moving less than 0.3% in either direction over the nearly three months since the last print. This stability reflects a market that has priced in the Q1 guidance raise but is not willing to pre-position further ahead of Q2 execution. Consensus sits modestly above guidance midpoints across all metrics, consistent with IDEXX's historical pattern of conservative guidance and consistent beats.</w:t>
      </w:r>
    </w:p>
    <w:p>
      <w:r>
        <w:rPr>
          <w:rFonts w:ascii="Calibri" w:hAnsi="Calibri"/>
          <w:i/>
          <w:color w:val="525866"/>
          <w:sz w:val="22"/>
        </w:rPr>
        <w:t xml:space="preserve">Source: </w:t>
      </w:r>
      <w:r>
        <w:rPr>
          <w:rFonts w:ascii="Calibri" w:hAnsi="Calibri"/>
          <w:i/>
          <w:color w:val="525866"/>
          <w:sz w:val="22"/>
        </w:rPr>
        <w:t>Visible Alpha Consensus and Actuals Data (all estimate figures); IDEXX Q1 2026 Earnings Call (May 5, 2026) for guidance figures.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IDXX has essentially flat-lined since the Q1 earnings beat (+~0% absolute from May 5 close of $562.97 to July 31 close of $559.07), while XLV (healthcare ETF) rallied ~12% over the same period — a meaningful underperformance driven almost entirely by </w:t>
      </w:r>
      <w:r>
        <w:rPr>
          <w:rFonts w:ascii="Calibri" w:hAnsi="Calibri"/>
          <w:b/>
          <w:color w:val="525866"/>
          <w:sz w:val="22"/>
        </w:rPr>
        <w:t>multiple compression</w:t>
      </w:r>
      <w:r>
        <w:rPr>
          <w:rFonts w:ascii="Calibri" w:hAnsi="Calibri"/>
          <w:color w:val="525866"/>
          <w:sz w:val="22"/>
        </w:rPr>
        <w:t xml:space="preserve"> (NTM P/E contracted from ~46x to ~35x over six months) rather than estimate cuts, as EPS revisions were essentially flat. The stock is no longer priced for perfection, which is a healthier setup heading into Q2.</w:t>
      </w:r>
    </w:p>
    <w:p>
      <w:r>
        <w:rPr>
          <w:rFonts w:ascii="Calibri" w:hAnsi="Calibri"/>
          <w:b/>
          <w:color w:val="525866"/>
          <w:sz w:val="22"/>
        </w:rPr>
        <w:t>Chart: IDXX vs. XLV vs. SPY — Indexed to 100 at May 5, 2026 Close (through July 31,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IDXX (Indexed)</w:t>
            </w:r>
          </w:p>
        </w:tc>
        <w:tc>
          <w:tcPr>
            <w:tcW w:type="dxa" w:w="2160"/>
            <w:shd w:val="clear" w:color="auto" w:fill="3B4259"/>
          </w:tcPr>
          <w:p>
            <w:r>
              <w:rPr>
                <w:rFonts w:ascii="Calibri" w:hAnsi="Calibri"/>
                <w:b/>
                <w:color w:val="FFFFFF"/>
                <w:sz w:val="22"/>
              </w:rPr>
              <w:t>XLV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12, 2026</w:t>
            </w:r>
          </w:p>
        </w:tc>
        <w:tc>
          <w:tcPr>
            <w:tcW w:type="dxa" w:w="2160"/>
          </w:tcPr>
          <w:p>
            <w:r>
              <w:rPr>
                <w:rFonts w:ascii="Calibri" w:hAnsi="Calibri"/>
                <w:sz w:val="22"/>
              </w:rPr>
              <w:t>94.8</w:t>
            </w:r>
          </w:p>
        </w:tc>
        <w:tc>
          <w:tcPr>
            <w:tcW w:type="dxa" w:w="2160"/>
          </w:tcPr>
          <w:p>
            <w:r>
              <w:rPr>
                <w:rFonts w:ascii="Calibri" w:hAnsi="Calibri"/>
                <w:sz w:val="22"/>
              </w:rPr>
              <w:t>100.4</w:t>
            </w:r>
          </w:p>
        </w:tc>
        <w:tc>
          <w:tcPr>
            <w:tcW w:type="dxa" w:w="2160"/>
          </w:tcPr>
          <w:p>
            <w:r>
              <w:rPr>
                <w:rFonts w:ascii="Calibri" w:hAnsi="Calibri"/>
                <w:sz w:val="22"/>
              </w:rPr>
              <w:t>102.0</w:t>
            </w:r>
          </w:p>
        </w:tc>
      </w:tr>
      <w:tr>
        <w:tc>
          <w:tcPr>
            <w:tcW w:type="dxa" w:w="2160"/>
          </w:tcPr>
          <w:p>
            <w:r>
              <w:rPr>
                <w:rFonts w:ascii="Calibri" w:hAnsi="Calibri"/>
                <w:sz w:val="22"/>
              </w:rPr>
              <w:t>May 29, 2026</w:t>
            </w:r>
          </w:p>
        </w:tc>
        <w:tc>
          <w:tcPr>
            <w:tcW w:type="dxa" w:w="2160"/>
          </w:tcPr>
          <w:p>
            <w:r>
              <w:rPr>
                <w:rFonts w:ascii="Calibri" w:hAnsi="Calibri"/>
                <w:sz w:val="22"/>
              </w:rPr>
              <w:t>100.1</w:t>
            </w:r>
          </w:p>
        </w:tc>
        <w:tc>
          <w:tcPr>
            <w:tcW w:type="dxa" w:w="2160"/>
          </w:tcPr>
          <w:p>
            <w:r>
              <w:rPr>
                <w:rFonts w:ascii="Calibri" w:hAnsi="Calibri"/>
                <w:sz w:val="22"/>
              </w:rPr>
              <w:t>102.9</w:t>
            </w:r>
          </w:p>
        </w:tc>
        <w:tc>
          <w:tcPr>
            <w:tcW w:type="dxa" w:w="2160"/>
          </w:tcPr>
          <w:p>
            <w:r>
              <w:rPr>
                <w:rFonts w:ascii="Calibri" w:hAnsi="Calibri"/>
                <w:sz w:val="22"/>
              </w:rPr>
              <w:t>104.5</w:t>
            </w:r>
          </w:p>
        </w:tc>
      </w:tr>
      <w:tr>
        <w:tc>
          <w:tcPr>
            <w:tcW w:type="dxa" w:w="2160"/>
          </w:tcPr>
          <w:p>
            <w:r>
              <w:rPr>
                <w:rFonts w:ascii="Calibri" w:hAnsi="Calibri"/>
                <w:sz w:val="22"/>
              </w:rPr>
              <w:t>Jun 9, 2026 (Stifel Conference)</w:t>
            </w:r>
          </w:p>
        </w:tc>
        <w:tc>
          <w:tcPr>
            <w:tcW w:type="dxa" w:w="2160"/>
          </w:tcPr>
          <w:p>
            <w:r>
              <w:rPr>
                <w:rFonts w:ascii="Calibri" w:hAnsi="Calibri"/>
                <w:sz w:val="22"/>
              </w:rPr>
              <w:t>102.8</w:t>
            </w:r>
          </w:p>
        </w:tc>
        <w:tc>
          <w:tcPr>
            <w:tcW w:type="dxa" w:w="2160"/>
          </w:tcPr>
          <w:p>
            <w:r>
              <w:rPr>
                <w:rFonts w:ascii="Calibri" w:hAnsi="Calibri"/>
                <w:sz w:val="22"/>
              </w:rPr>
              <w:t>106.4</w:t>
            </w:r>
          </w:p>
        </w:tc>
        <w:tc>
          <w:tcPr>
            <w:tcW w:type="dxa" w:w="2160"/>
          </w:tcPr>
          <w:p>
            <w:r>
              <w:rPr>
                <w:rFonts w:ascii="Calibri" w:hAnsi="Calibri"/>
                <w:sz w:val="22"/>
              </w:rPr>
              <w:t>101.9</w:t>
            </w:r>
          </w:p>
        </w:tc>
      </w:tr>
      <w:tr>
        <w:tc>
          <w:tcPr>
            <w:tcW w:type="dxa" w:w="2160"/>
          </w:tcPr>
          <w:p>
            <w:r>
              <w:rPr>
                <w:rFonts w:ascii="Calibri" w:hAnsi="Calibri"/>
                <w:sz w:val="22"/>
              </w:rPr>
              <w:t>Jun 30, 2026</w:t>
            </w:r>
          </w:p>
        </w:tc>
        <w:tc>
          <w:tcPr>
            <w:tcW w:type="dxa" w:w="2160"/>
          </w:tcPr>
          <w:p>
            <w:r>
              <w:rPr>
                <w:rFonts w:ascii="Calibri" w:hAnsi="Calibri"/>
                <w:sz w:val="22"/>
              </w:rPr>
              <w:t>93.5</w:t>
            </w:r>
          </w:p>
        </w:tc>
        <w:tc>
          <w:tcPr>
            <w:tcW w:type="dxa" w:w="2160"/>
          </w:tcPr>
          <w:p>
            <w:r>
              <w:rPr>
                <w:rFonts w:ascii="Calibri" w:hAnsi="Calibri"/>
                <w:sz w:val="22"/>
              </w:rPr>
              <w:t>109.2</w:t>
            </w:r>
          </w:p>
        </w:tc>
        <w:tc>
          <w:tcPr>
            <w:tcW w:type="dxa" w:w="2160"/>
          </w:tcPr>
          <w:p>
            <w:r>
              <w:rPr>
                <w:rFonts w:ascii="Calibri" w:hAnsi="Calibri"/>
                <w:sz w:val="22"/>
              </w:rPr>
              <w:t>103.2</w:t>
            </w:r>
          </w:p>
        </w:tc>
      </w:tr>
      <w:tr>
        <w:tc>
          <w:tcPr>
            <w:tcW w:type="dxa" w:w="2160"/>
          </w:tcPr>
          <w:p>
            <w:r>
              <w:rPr>
                <w:rFonts w:ascii="Calibri" w:hAnsi="Calibri"/>
                <w:sz w:val="22"/>
              </w:rPr>
              <w:t>Jul 16, 2026</w:t>
            </w:r>
          </w:p>
        </w:tc>
        <w:tc>
          <w:tcPr>
            <w:tcW w:type="dxa" w:w="2160"/>
          </w:tcPr>
          <w:p>
            <w:r>
              <w:rPr>
                <w:rFonts w:ascii="Calibri" w:hAnsi="Calibri"/>
                <w:sz w:val="22"/>
              </w:rPr>
              <w:t>102.3</w:t>
            </w:r>
          </w:p>
        </w:tc>
        <w:tc>
          <w:tcPr>
            <w:tcW w:type="dxa" w:w="2160"/>
          </w:tcPr>
          <w:p>
            <w:r>
              <w:rPr>
                <w:rFonts w:ascii="Calibri" w:hAnsi="Calibri"/>
                <w:sz w:val="22"/>
              </w:rPr>
              <w:t>111.4</w:t>
            </w:r>
          </w:p>
        </w:tc>
        <w:tc>
          <w:tcPr>
            <w:tcW w:type="dxa" w:w="2160"/>
          </w:tcPr>
          <w:p>
            <w:r>
              <w:rPr>
                <w:rFonts w:ascii="Calibri" w:hAnsi="Calibri"/>
                <w:sz w:val="22"/>
              </w:rPr>
              <w:t>103.7</w:t>
            </w:r>
          </w:p>
        </w:tc>
      </w:tr>
      <w:tr>
        <w:tc>
          <w:tcPr>
            <w:tcW w:type="dxa" w:w="2160"/>
          </w:tcPr>
          <w:p>
            <w:r>
              <w:rPr>
                <w:rFonts w:ascii="Calibri" w:hAnsi="Calibri"/>
                <w:sz w:val="22"/>
              </w:rPr>
              <w:t>Jul 31, 2026</w:t>
            </w:r>
          </w:p>
        </w:tc>
        <w:tc>
          <w:tcPr>
            <w:tcW w:type="dxa" w:w="2160"/>
          </w:tcPr>
          <w:p>
            <w:r>
              <w:rPr>
                <w:rFonts w:ascii="Calibri" w:hAnsi="Calibri"/>
                <w:sz w:val="22"/>
              </w:rPr>
              <w:t>99.3</w:t>
            </w:r>
          </w:p>
        </w:tc>
        <w:tc>
          <w:tcPr>
            <w:tcW w:type="dxa" w:w="2160"/>
          </w:tcPr>
          <w:p>
            <w:r>
              <w:rPr>
                <w:rFonts w:ascii="Calibri" w:hAnsi="Calibri"/>
                <w:sz w:val="22"/>
              </w:rPr>
              <w:t>111.9</w:t>
            </w:r>
          </w:p>
        </w:tc>
        <w:tc>
          <w:tcPr>
            <w:tcW w:type="dxa" w:w="2160"/>
          </w:tcPr>
          <w:p>
            <w:r>
              <w:rPr>
                <w:rFonts w:ascii="Calibri" w:hAnsi="Calibri"/>
                <w:sz w:val="22"/>
              </w:rPr>
              <w:t>103.2</w:t>
            </w:r>
          </w:p>
        </w:tc>
      </w:tr>
    </w:tbl>
    <w:p>
      <w:r>
        <w:rPr>
          <w:rFonts w:ascii="Calibri" w:hAnsi="Calibri"/>
          <w:i/>
          <w:color w:val="525866"/>
          <w:sz w:val="22"/>
        </w:rPr>
        <w:t xml:space="preserve">Note: </w:t>
      </w:r>
      <w:r>
        <w:rPr>
          <w:rFonts w:ascii="Calibri" w:hAnsi="Calibri"/>
          <w:i/>
          <w:color w:val="525866"/>
          <w:sz w:val="22"/>
        </w:rPr>
        <w:t>Indexed to 100 at May 5, 2026 close (IDXX: $562.97; XLV: $145.30; SPY: $723.77). IDXX closed at $559.07 on July 31, 2026 (-0.7% absolute). XLV closed at $162.55 (+11.9%). SPY closed at $747.03 (+3.2%). Key event: Stifel Jaws &amp; Paws Conference fireside chat (May 27, 2026); Investor Day announced for August 13, 2026. Sector ETF: XLV (Health Care Select Sector SPDR) — appropriate for IDEXX’s veterinary diagnostics sub-sector within healthcare.</w:t>
      </w:r>
    </w:p>
    <w:p>
      <w:r>
        <w:rPr>
          <w:rFonts w:ascii="Calibri" w:hAnsi="Calibri"/>
          <w:i/>
          <w:color w:val="525866"/>
          <w:sz w:val="22"/>
        </w:rPr>
        <w:t xml:space="preserve">Source: </w:t>
      </w:r>
      <w:r>
        <w:rPr>
          <w:rFonts w:ascii="Calibri" w:hAnsi="Calibri"/>
          <w:i/>
          <w:color w:val="525866"/>
          <w:sz w:val="22"/>
        </w:rPr>
        <w:t>Stock Price Data (Yahoo Finance); Stock Performance Decomposition Data.</w:t>
      </w:r>
    </w:p>
    <w:p>
      <w:r>
        <w:rPr>
          <w:rFonts w:ascii="Calibri" w:hAnsi="Calibri"/>
          <w:b/>
          <w:color w:val="525866"/>
          <w:sz w:val="22"/>
        </w:rPr>
        <w:t xml:space="preserve">Performance Commentary: </w:t>
      </w:r>
      <w:r>
        <w:rPr>
          <w:rFonts w:ascii="Calibri" w:hAnsi="Calibri"/>
          <w:color w:val="525866"/>
          <w:sz w:val="22"/>
        </w:rPr>
        <w:t>IDXX's underperformance vs. XLV is almost entirely a multiple story, not an earnings story. NTM EV/EBITDA compressed from ~33x (six months ago) to ~25x today, and NTM P/E from ~46x to ~35x, while EPS estimates barely moved. The stock sold off sharply in the first two weeks post-earnings (falling to ~$528 by May 11) before recovering, then drifted lower through June (trough ~$526 on June 30) before recovering again in July. The June weakness coincided with broader healthcare sector rotation and no IDEXX-specific negative catalysts. The stock's current ~35x NTM P/E is well below its 5-year average of ~50x and 10-year average of ~53x, suggesting the valuation reset has been significant — though still a premium to the broader healthcare sector.</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announcement of IDEXX’s 2026 Investor Day on August 13, 2026</w:t>
      </w:r>
      <w:r>
        <w:rPr>
          <w:rFonts w:ascii="Calibri" w:hAnsi="Calibri"/>
          <w:color w:val="525866"/>
          <w:sz w:val="22"/>
        </w:rPr>
        <w:t xml:space="preserve"> — just nine days after Q2 earnings — where new CEO Mike Erickson is expected to lay out his strategic vision, including AI priorities and the MultiQ platform, creating a potential double catalyst window.</w:t>
      </w:r>
    </w:p>
    <w:p>
      <w:pPr>
        <w:pStyle w:val="ListBullet"/>
        <w:ind w:left="360" w:hanging="360"/>
      </w:pPr>
      <w:r>
        <w:rPr>
          <w:rFonts w:ascii="Calibri" w:hAnsi="Calibri"/>
          <w:b/>
          <w:color w:val="525866"/>
          <w:sz w:val="22"/>
        </w:rPr>
        <w:t>May 5, 2026 — Q1 2026 Earnings Beat &amp; Guidance Raise:</w:t>
      </w:r>
      <w:r>
        <w:rPr>
          <w:rFonts w:ascii="Calibri" w:hAnsi="Calibri"/>
          <w:color w:val="525866"/>
          <w:sz w:val="22"/>
        </w:rPr>
        <w:t xml:space="preserve"> IDEXX reported Q1 revenue of $1,140.8M and operating EPS of $3.47, both above consensus. Full-year 2026 revenue guidance raised to $4.675B–$4.760B (+$42M at midpoint) and EPS to $14.45–$14.90 (+$0.13 at midpoint). Raise was entirely volume-driven. CEO transition confirmed: Mike Erickson succeeds Jay Mazelsky effective May 12. </w:t>
      </w:r>
    </w:p>
    <w:p>
      <w:pPr>
        <w:pStyle w:val="ListBullet"/>
        <w:ind w:left="360" w:hanging="360"/>
      </w:pPr>
      <w:r>
        <w:rPr>
          <w:rFonts w:ascii="Calibri" w:hAnsi="Calibri"/>
          <w:b/>
          <w:color w:val="525866"/>
          <w:sz w:val="22"/>
        </w:rPr>
        <w:t>May 12, 2026 — CEO Transition Effective:</w:t>
      </w:r>
      <w:r>
        <w:rPr>
          <w:rFonts w:ascii="Calibri" w:hAnsi="Calibri"/>
          <w:color w:val="525866"/>
          <w:sz w:val="22"/>
        </w:rPr>
        <w:t xml:space="preserve"> Mike Erickson (PhD) formally becomes President &amp; CEO. Mazelsky moves to Executive Chair with planned retirement May 2027. Erickson has signaled strategic continuity with added emphasis on AI across three dimensions: embedded in instruments (inVue Dx), practice workflow (ambient scribe, clinical insights), and internal IDEXX operations. </w:t>
      </w:r>
    </w:p>
    <w:p>
      <w:pPr>
        <w:pStyle w:val="ListBullet"/>
        <w:ind w:left="360" w:hanging="360"/>
      </w:pPr>
      <w:r>
        <w:rPr>
          <w:rFonts w:ascii="Calibri" w:hAnsi="Calibri"/>
          <w:b/>
          <w:color w:val="525866"/>
          <w:sz w:val="22"/>
        </w:rPr>
        <w:t>May 14, 2026 — Investor Day Announced for August 13, 2026:</w:t>
      </w:r>
      <w:r>
        <w:rPr>
          <w:rFonts w:ascii="Calibri" w:hAnsi="Calibri"/>
          <w:color w:val="525866"/>
          <w:sz w:val="22"/>
        </w:rPr>
        <w:t xml:space="preserve"> IDEXX announced its 2026 Investor Day at corporate headquarters in Westbrook, Maine (8:00 AM–12:00 PM ET), with a live webcast. This is the first major strategic event under new CEO Erickson and is expected to include detail on the MultiQ platform, AI strategy, and long-term financial targets. The proximity to Q2 earnings (August 4) creates a potential double catalyst. </w:t>
      </w:r>
    </w:p>
    <w:p>
      <w:pPr>
        <w:pStyle w:val="ListBullet"/>
        <w:ind w:left="360" w:hanging="360"/>
      </w:pPr>
      <w:r>
        <w:rPr>
          <w:rFonts w:ascii="Calibri" w:hAnsi="Calibri"/>
          <w:b/>
          <w:color w:val="525866"/>
          <w:sz w:val="22"/>
        </w:rPr>
        <w:t>May 14, 2026 — Stifel Jaws &amp; Paws Conference (May 27):</w:t>
      </w:r>
      <w:r>
        <w:rPr>
          <w:rFonts w:ascii="Calibri" w:hAnsi="Calibri"/>
          <w:color w:val="525866"/>
          <w:sz w:val="22"/>
        </w:rPr>
        <w:t xml:space="preserve"> CEO Erickson participated in a fireside chat at the Stifel Jaws &amp; Paws Conference. No formal guidance update was issued; the event was an opportunity for Erickson to introduce himself to the investment community. </w:t>
      </w:r>
    </w:p>
    <w:p>
      <w:pPr>
        <w:pStyle w:val="ListBullet"/>
        <w:ind w:left="360" w:hanging="360"/>
      </w:pPr>
      <w:r>
        <w:rPr>
          <w:rFonts w:ascii="Calibri" w:hAnsi="Calibri"/>
          <w:b/>
          <w:color w:val="525866"/>
          <w:sz w:val="22"/>
        </w:rPr>
        <w:t>May 15, 2026 — Shareholder Governance Reforms Approved:</w:t>
      </w:r>
      <w:r>
        <w:rPr>
          <w:rFonts w:ascii="Calibri" w:hAnsi="Calibri"/>
          <w:color w:val="525866"/>
          <w:sz w:val="22"/>
        </w:rPr>
        <w:t xml:space="preserve"> IDEXX shareholders approved major governance reforms including board declassification and special meeting rights. These are shareholder-friendly changes with no direct financial impact on Q2 but signal improved corporate governance posture under new leadership. </w:t>
      </w:r>
    </w:p>
    <w:p>
      <w:pPr>
        <w:pStyle w:val="ListBullet"/>
        <w:ind w:left="360" w:hanging="360"/>
      </w:pPr>
      <w:r>
        <w:rPr>
          <w:rFonts w:ascii="Calibri" w:hAnsi="Calibri"/>
          <w:b/>
          <w:color w:val="525866"/>
          <w:sz w:val="22"/>
        </w:rPr>
        <w:t>July 1, 2026 — Q2 2026 Earnings Date Confirmed:</w:t>
      </w:r>
      <w:r>
        <w:rPr>
          <w:rFonts w:ascii="Calibri" w:hAnsi="Calibri"/>
          <w:color w:val="525866"/>
          <w:sz w:val="22"/>
        </w:rPr>
        <w:t xml:space="preserve"> IDEXX confirmed it will release Q2 2026 financial results on August 4, 2026, with an earnings call at 8:30 AM ET. </w:t>
      </w:r>
    </w:p>
    <w:p>
      <w:pPr>
        <w:pStyle w:val="ListBullet"/>
        <w:ind w:left="360" w:hanging="360"/>
      </w:pPr>
      <w:r>
        <w:rPr>
          <w:rFonts w:ascii="Calibri" w:hAnsi="Calibri"/>
          <w:b/>
          <w:color w:val="525866"/>
          <w:sz w:val="22"/>
        </w:rPr>
        <w:t>Ongoing — FNA Controlled Rollout Broadening in Q2:</w:t>
      </w:r>
      <w:r>
        <w:rPr>
          <w:rFonts w:ascii="Calibri" w:hAnsi="Calibri"/>
          <w:color w:val="525866"/>
          <w:sz w:val="22"/>
        </w:rPr>
        <w:t xml:space="preserve"> Per Q1 guidance, IDEXX is broadening the FNA (fine needle aspirate) launch in Q2 with full volume ramp expected in H2 2026. Early customer response described as "very encouraging." FNA utilization tracking to planning assumptions. This is the key innovation catalyst for the Q2 print and H2 2026 outlook. </w:t>
      </w:r>
    </w:p>
    <w:p>
      <w:pPr>
        <w:pStyle w:val="ListBullet"/>
        <w:ind w:left="360" w:hanging="360"/>
      </w:pPr>
      <w:r>
        <w:rPr>
          <w:rFonts w:ascii="Calibri" w:hAnsi="Calibri"/>
          <w:b/>
          <w:color w:val="525866"/>
          <w:sz w:val="22"/>
        </w:rPr>
        <w:t>Ongoing — Cancer DX International Launch:</w:t>
      </w:r>
      <w:r>
        <w:rPr>
          <w:rFonts w:ascii="Calibri" w:hAnsi="Calibri"/>
          <w:color w:val="525866"/>
          <w:sz w:val="22"/>
        </w:rPr>
        <w:t xml:space="preserve"> Cancer DX launched in Europe and Australia following Q1 2026 earnings. Approximately 7,500 practices ordering the test domestically, with ~20% of volume from practices that do not use IDEXX as their primary reference lab — demonstrating new customer acquisition potential. Mast cell tumor indication and a third undisclosed indication targeted by end of 2026. </w:t>
      </w:r>
    </w:p>
    <w:p>
      <w:pPr>
        <w:pStyle w:val="ListBullet"/>
        <w:ind w:left="360" w:hanging="360"/>
      </w:pPr>
      <w:r>
        <w:rPr>
          <w:rFonts w:ascii="Calibri" w:hAnsi="Calibri"/>
          <w:b/>
          <w:color w:val="525866"/>
          <w:sz w:val="22"/>
        </w:rPr>
        <w:t>Ongoing — inVue Dx Menu Expansion via IoT:</w:t>
      </w:r>
      <w:r>
        <w:rPr>
          <w:rFonts w:ascii="Calibri" w:hAnsi="Calibri"/>
          <w:color w:val="525866"/>
          <w:sz w:val="22"/>
        </w:rPr>
        <w:t xml:space="preserve"> New blood morphology parameters (including acanthocytes and additional additions) have been pushed to all connected inVue Dx instruments via the IoT network without requiring practice intervention — demonstrating the platform’s ability to expand recurring revenue per box without new hardware placements. </w:t>
      </w:r>
    </w:p>
    <w:p>
      <w:pPr>
        <w:pStyle w:val="ListBullet"/>
        <w:ind w:left="360" w:hanging="360"/>
      </w:pPr>
      <w:r>
        <w:rPr>
          <w:rFonts w:ascii="Calibri" w:hAnsi="Calibri"/>
          <w:b/>
          <w:color w:val="525866"/>
          <w:sz w:val="22"/>
        </w:rPr>
        <w:t>Ongoing — MultiQ Platform (Undisclosed):</w:t>
      </w:r>
      <w:r>
        <w:rPr>
          <w:rFonts w:ascii="Calibri" w:hAnsi="Calibri"/>
          <w:color w:val="525866"/>
          <w:sz w:val="22"/>
        </w:rPr>
        <w:t xml:space="preserve"> IDEXX has trademarked "MultiQ" as a next-generation instrument platform. Management describes it as "transformational for its category" and fully complementary to the existing vet lab suite. No specific functionality or timing disclosed; detail expected at the August 13 Investor Day. </w:t>
      </w:r>
    </w:p>
    <w:p>
      <w:r>
        <w:br w:type="page"/>
      </w:r>
    </w:p>
    <w:p>
      <w:pPr>
        <w:pStyle w:val="Heading1"/>
        <w:pBdr>
          <w:bottom w:val="single" w:sz="4" w:space="1" w:color="FB9120"/>
        </w:pBdr>
      </w:pPr>
      <w:r>
        <w:rPr>
          <w:rFonts w:ascii="Calibri" w:hAnsi="Calibri"/>
          <w:b/>
          <w:color w:val="3B4259"/>
          <w:sz w:val="40"/>
        </w:rPr>
        <w:t>7. Peer Commentary Read-Throughs</w:t>
      </w:r>
    </w:p>
    <w:p>
      <w:r>
        <w:rPr>
          <w:rFonts w:ascii="Calibri" w:hAnsi="Calibri"/>
          <w:b/>
          <w:color w:val="525866"/>
          <w:sz w:val="22"/>
        </w:rPr>
        <w:t xml:space="preserve">Key Takeaway: </w:t>
      </w:r>
      <w:r>
        <w:rPr>
          <w:rFonts w:ascii="Calibri" w:hAnsi="Calibri"/>
          <w:color w:val="525866"/>
          <w:sz w:val="22"/>
        </w:rPr>
        <w:t xml:space="preserve">The most relevant peer read-through comes from </w:t>
      </w:r>
      <w:r>
        <w:rPr>
          <w:rFonts w:ascii="Calibri" w:hAnsi="Calibri"/>
          <w:b/>
          <w:color w:val="525866"/>
          <w:sz w:val="22"/>
        </w:rPr>
        <w:t>Chewy’s Q1 FY2026 earnings call (June 10, 2026)</w:t>
      </w:r>
      <w:r>
        <w:rPr>
          <w:rFonts w:ascii="Calibri" w:hAnsi="Calibri"/>
          <w:color w:val="525866"/>
          <w:sz w:val="22"/>
        </w:rPr>
        <w:t>, which addressed the then-current consumer and veterinary environment heading into Q2 2026. Chewy’s commentary is directionally mixed for IDEXX: resilient core pet healthcare spending is a positive, but incremental consumer caution on discretionary spending and a "more challenged" pet consumer environment are modest headwinds to watch. Zoetis (ZTS), reporting August 6, has not yet reported Q2 2026 and its pre-report sentiment is noted as context.</w:t>
      </w:r>
    </w:p>
    <w:p>
      <w:r>
        <w:rPr>
          <w:rFonts w:ascii="Calibri" w:hAnsi="Calibri"/>
          <w:b/>
          <w:i/>
          <w:color w:val="525866"/>
          <w:sz w:val="22"/>
        </w:rPr>
        <w:t xml:space="preserve">Scope Note: </w:t>
      </w:r>
      <w:r>
        <w:rPr>
          <w:rFonts w:ascii="Calibri" w:hAnsi="Calibri"/>
          <w:i/>
          <w:color w:val="525866"/>
          <w:sz w:val="22"/>
        </w:rPr>
        <w:t>Only commentary from the last 60 days (on or after June 4, 2026) that addressed the then-current Q2 2026 period or forward-looking conditions is included below. Backward-looking Q1 2025 or Q4 2025 results commentary from prior quarters is excluded. Petco (WOOF) 8-K filings reviewed contained only governance/personnel changes with no operational commentary and are excluded.</w:t>
      </w:r>
    </w:p>
    <w:p>
      <w:pPr>
        <w:pStyle w:val="Heading2"/>
      </w:pPr>
      <w:r>
        <w:rPr>
          <w:rFonts w:ascii="Calibri" w:hAnsi="Calibri"/>
          <w:b/>
          <w:color w:val="3B4259"/>
          <w:sz w:val="28"/>
        </w:rPr>
        <w:t>Chewy (CHWY) — Q1 FY2026 Earnings Call, June 10, 2026</w:t>
      </w:r>
    </w:p>
    <w:p>
      <w:r>
        <w:rPr>
          <w:rFonts w:ascii="Calibri" w:hAnsi="Calibri"/>
          <w:b/>
          <w:color w:val="525866"/>
          <w:sz w:val="22"/>
        </w:rPr>
        <w:t xml:space="preserve">Relevance: </w:t>
      </w:r>
      <w:r>
        <w:rPr>
          <w:rFonts w:ascii="Calibri" w:hAnsi="Calibri"/>
          <w:color w:val="525866"/>
          <w:sz w:val="22"/>
        </w:rPr>
        <w:t>Chewy is a major pet retail and services platform with growing veterinary clinic operations (Chewy Vet Care / Modern Animal). Its commentary on the pet consumer environment, veterinary clinic expansion, and veterinarian supply/demand is directly relevant to IDEXX’s end market.</w:t>
      </w:r>
    </w:p>
    <w:p>
      <w:pPr>
        <w:pStyle w:val="Heading3"/>
      </w:pPr>
      <w:r>
        <w:rPr>
          <w:rFonts w:ascii="Calibri" w:hAnsi="Calibri"/>
          <w:b/>
          <w:color w:val="3B4259"/>
          <w:sz w:val="24"/>
        </w:rPr>
        <w:t>Read-Through Points (Relevant to IDEXX Q2 2026)</w:t>
      </w:r>
    </w:p>
    <w:p>
      <w:pPr>
        <w:pStyle w:val="ListBullet"/>
        <w:ind w:left="360" w:hanging="360"/>
      </w:pPr>
      <w:r>
        <w:rPr>
          <w:rFonts w:ascii="Calibri" w:hAnsi="Calibri"/>
          <w:b/>
          <w:color w:val="525866"/>
          <w:sz w:val="22"/>
        </w:rPr>
        <w:t>Pet Healthcare TAM Remains Large and Attractive:</w:t>
      </w:r>
      <w:r>
        <w:rPr>
          <w:rFonts w:ascii="Calibri" w:hAnsi="Calibri"/>
          <w:color w:val="525866"/>
          <w:sz w:val="22"/>
        </w:rPr>
        <w:t xml:space="preserve"> Chewy highlighted that "pet health care represents approximately $54 billion of TAM, including over $40 billion associated with in-clinic products and veterinary services alone." This underscores the scale of IDEXX’s addressable market and supports the long-term growth thesis for veterinary diagnostics.</w:t>
      </w:r>
    </w:p>
    <w:p>
      <w:pPr>
        <w:pStyle w:val="ListBullet"/>
        <w:ind w:left="360" w:hanging="360"/>
      </w:pPr>
      <w:r>
        <w:rPr>
          <w:rFonts w:ascii="Calibri" w:hAnsi="Calibri"/>
          <w:b/>
          <w:color w:val="525866"/>
          <w:sz w:val="22"/>
        </w:rPr>
        <w:t>Veterinary Clinic Expansion = More IDEXX Customers:</w:t>
      </w:r>
      <w:r>
        <w:rPr>
          <w:rFonts w:ascii="Calibri" w:hAnsi="Calibri"/>
          <w:color w:val="525866"/>
          <w:sz w:val="22"/>
        </w:rPr>
        <w:t xml:space="preserve"> Chewy expects to operate approximately 60 clinics exiting FY2026 (combined Chewy Vet Care + Modern Animal), with embedded revenue approaching ~$290M at steady state. Each new clinic is a potential IDEXX diagnostics customer. The expansion of the veterinary clinic footprint is a structural tailwind for IDEXX’s instrument placements and recurring consumables.</w:t>
      </w:r>
    </w:p>
    <w:p>
      <w:pPr>
        <w:pStyle w:val="ListBullet"/>
        <w:ind w:left="360" w:hanging="360"/>
      </w:pPr>
      <w:r>
        <w:rPr>
          <w:rFonts w:ascii="Calibri" w:hAnsi="Calibri"/>
          <w:b/>
          <w:color w:val="525866"/>
          <w:sz w:val="22"/>
        </w:rPr>
        <w:t>Veterinarian Shortage Persists:</w:t>
      </w:r>
      <w:r>
        <w:rPr>
          <w:rFonts w:ascii="Calibri" w:hAnsi="Calibri"/>
          <w:color w:val="525866"/>
          <w:sz w:val="22"/>
        </w:rPr>
        <w:t xml:space="preserve"> Chewy noted that "veterinarians are in short supply" and highlighted that its clinics achieve vet retention and employee satisfaction that outperforms peers, enabled by "technology-enabled workflows and AI-assisted tools." This is relevant to IDEXX because: (1) staffing constraints can limit diagnostic throughput at practices, and (2) IDEXX’s software and AI tools (ambient scribe, clinical insights) are positioned as solutions to exactly this problem — a potential competitive differentiator.</w:t>
      </w:r>
    </w:p>
    <w:p>
      <w:pPr>
        <w:pStyle w:val="ListBullet"/>
        <w:ind w:left="360" w:hanging="360"/>
      </w:pPr>
      <w:r>
        <w:rPr>
          <w:rFonts w:ascii="Calibri" w:hAnsi="Calibri"/>
          <w:b/>
          <w:color w:val="525866"/>
          <w:sz w:val="22"/>
        </w:rPr>
        <w:t>Core Pet Healthcare Spending Remains Resilient:</w:t>
      </w:r>
      <w:r>
        <w:rPr>
          <w:rFonts w:ascii="Calibri" w:hAnsi="Calibri"/>
          <w:color w:val="525866"/>
          <w:sz w:val="22"/>
        </w:rPr>
        <w:t xml:space="preserve"> Chewy explicitly noted that "consumables and health care categories that are recurring in nature, fueled by the Autoship flywheel continue to be super strong" — a direct read-through to IDEXX’s recurring diagnostics revenue model. Non-discretionary pet health spending (diagnostics, medications, routine care) is holding up even as discretionary categories face pressure.</w:t>
      </w:r>
    </w:p>
    <w:p>
      <w:pPr>
        <w:pStyle w:val="ListBullet"/>
        <w:ind w:left="360" w:hanging="360"/>
      </w:pPr>
      <w:r>
        <w:rPr>
          <w:rFonts w:ascii="Calibri" w:hAnsi="Calibri"/>
          <w:b/>
          <w:color w:val="525866"/>
          <w:sz w:val="22"/>
        </w:rPr>
        <w:t>Consumer Caution on Discretionary Spending — Modest Headwind:</w:t>
      </w:r>
      <w:r>
        <w:rPr>
          <w:rFonts w:ascii="Calibri" w:hAnsi="Calibri"/>
          <w:color w:val="525866"/>
          <w:sz w:val="22"/>
        </w:rPr>
        <w:t xml:space="preserve"> Chewy flagged that "the consumer pet environment has become incrementally more challenged since we initially established our fiscal 2026 outlook," with "modest pressure on premiumization and product attach rates." Customers are "being a little more deliberate in their spending decisions." While IDEXX’s core diagnostics are largely non-discretionary, this consumer caution could translate to: (a) pet owners delaying routine wellness visits (consistent with IDEXX’s own -1.5% FY2026 clinical visit assumption), and (b) some practices being more selective about adopting premium diagnostic panels.</w:t>
      </w:r>
    </w:p>
    <w:p>
      <w:pPr>
        <w:pStyle w:val="ListBullet"/>
        <w:ind w:left="360" w:hanging="360"/>
      </w:pPr>
      <w:r>
        <w:rPr>
          <w:rFonts w:ascii="Calibri" w:hAnsi="Calibri"/>
          <w:b/>
          <w:color w:val="525866"/>
          <w:sz w:val="22"/>
        </w:rPr>
        <w:t>Pet Remains More Resilient Than Broader Consumer:</w:t>
      </w:r>
      <w:r>
        <w:rPr>
          <w:rFonts w:ascii="Calibri" w:hAnsi="Calibri"/>
          <w:color w:val="525866"/>
          <w:sz w:val="22"/>
        </w:rPr>
        <w:t xml:space="preserve"> Chewy affirmed that "pet remains a more resilient category relative to other parts of the consumer landscape," which is consistent with IDEXX management’s own framing that companion animals are "seen as members of the family" and that pet owners prioritize health spending.</w:t>
      </w:r>
    </w:p>
    <w:p>
      <w:pPr>
        <w:pStyle w:val="Heading3"/>
      </w:pPr>
      <w:r>
        <w:rPr>
          <w:rFonts w:ascii="Calibri" w:hAnsi="Calibri"/>
          <w:b/>
          <w:color w:val="3B4259"/>
          <w:sz w:val="24"/>
        </w:rPr>
        <w:t>Limits of Read-Through</w:t>
      </w:r>
    </w:p>
    <w:p>
      <w:pPr>
        <w:pStyle w:val="ListBullet"/>
        <w:ind w:left="360" w:hanging="360"/>
      </w:pPr>
      <w:r>
        <w:rPr>
          <w:rFonts w:ascii="Calibri" w:hAnsi="Calibri"/>
          <w:b/>
          <w:color w:val="525866"/>
          <w:sz w:val="22"/>
        </w:rPr>
        <w:t>Different Business Models:</w:t>
      </w:r>
      <w:r>
        <w:rPr>
          <w:rFonts w:ascii="Calibri" w:hAnsi="Calibri"/>
          <w:color w:val="525866"/>
          <w:sz w:val="22"/>
        </w:rPr>
        <w:t xml:space="preserve"> Chewy is a retailer/services platform; IDEXX sells diagnostic instruments, consumables, and software to veterinary practices. Chewy’s "discretionary attachment" pressure (treats, hard goods) is not directly analogous to IDEXX’s recurring diagnostic revenue.</w:t>
      </w:r>
    </w:p>
    <w:p>
      <w:pPr>
        <w:pStyle w:val="ListBullet"/>
        <w:ind w:left="360" w:hanging="360"/>
      </w:pPr>
      <w:r>
        <w:rPr>
          <w:rFonts w:ascii="Calibri" w:hAnsi="Calibri"/>
          <w:b/>
          <w:color w:val="525866"/>
          <w:sz w:val="22"/>
        </w:rPr>
        <w:t>Chewy’s Fiscal Calendar Differs:</w:t>
      </w:r>
      <w:r>
        <w:rPr>
          <w:rFonts w:ascii="Calibri" w:hAnsi="Calibri"/>
          <w:color w:val="525866"/>
          <w:sz w:val="22"/>
        </w:rPr>
        <w:t xml:space="preserve"> Chewy’s Q1 FY2026 ended May 4, 2026 — its Q2 FY2026 (May–July 2026) is the period most directly comparable to IDEXX’s Q2 2026 (April–June 2026). Chewy has not yet reported Q2 FY2026 results.</w:t>
      </w:r>
    </w:p>
    <w:p>
      <w:pPr>
        <w:pStyle w:val="ListBullet"/>
        <w:ind w:left="360" w:hanging="360"/>
      </w:pPr>
      <w:r>
        <w:rPr>
          <w:rFonts w:ascii="Calibri" w:hAnsi="Calibri"/>
          <w:b/>
          <w:color w:val="525866"/>
          <w:sz w:val="22"/>
        </w:rPr>
        <w:t>Competitive Dynamics Differ:</w:t>
      </w:r>
      <w:r>
        <w:rPr>
          <w:rFonts w:ascii="Calibri" w:hAnsi="Calibri"/>
          <w:color w:val="525866"/>
          <w:sz w:val="22"/>
        </w:rPr>
        <w:t xml:space="preserve"> Chewy’s comments on a "rational" competitive environment apply to pet retail, not veterinary diagnostics, where IDEXX holds a dominant market position with high switching costs.</w:t>
      </w:r>
    </w:p>
    <w:p>
      <w:pPr>
        <w:pStyle w:val="Heading2"/>
      </w:pPr>
      <w:r>
        <w:rPr>
          <w:rFonts w:ascii="Calibri" w:hAnsi="Calibri"/>
          <w:b/>
          <w:color w:val="3B4259"/>
          <w:sz w:val="28"/>
        </w:rPr>
        <w:t>Zoetis (ZTS) — Pre-Q2 2026 Sentiment (as of August 3, 2026)</w:t>
      </w:r>
    </w:p>
    <w:p>
      <w:r>
        <w:rPr>
          <w:rFonts w:ascii="Calibri" w:hAnsi="Calibri"/>
          <w:b/>
          <w:color w:val="525866"/>
          <w:sz w:val="22"/>
        </w:rPr>
        <w:t xml:space="preserve">Relevance: </w:t>
      </w:r>
      <w:r>
        <w:rPr>
          <w:rFonts w:ascii="Calibri" w:hAnsi="Calibri"/>
          <w:color w:val="525866"/>
          <w:sz w:val="22"/>
        </w:rPr>
        <w:t>Zoetis is the closest direct peer to IDEXX in the companion animal health space (pharmaceuticals vs. diagnostics). ZTS reports Q2 2026 on August 6, 2026 — two days after IDEXX.</w:t>
      </w:r>
    </w:p>
    <w:p>
      <w:pPr>
        <w:pStyle w:val="ListBullet"/>
        <w:ind w:left="360" w:hanging="360"/>
      </w:pPr>
      <w:r>
        <w:rPr>
          <w:rFonts w:ascii="Calibri" w:hAnsi="Calibri"/>
          <w:b/>
          <w:color w:val="525866"/>
          <w:sz w:val="22"/>
        </w:rPr>
        <w:t>Gloomy Pre-Report Sentiment, But Low Bar:</w:t>
      </w:r>
      <w:r>
        <w:rPr>
          <w:rFonts w:ascii="Calibri" w:hAnsi="Calibri"/>
          <w:color w:val="525866"/>
          <w:sz w:val="22"/>
        </w:rPr>
        <w:t xml:space="preserve"> As of July 31, 2026, sell-side sentiment ahead of ZTS’s Q2 2026 report is described as "gloomy due to concerns about the Librela franchise and the overall companion animal business, following a very negative Q1 report that triggered a sharp stock price decline." However, the bar is now considered "quite low" and "signs of stabilization in the companion animal segment could support the shares."</w:t>
      </w:r>
    </w:p>
    <w:p>
      <w:pPr>
        <w:pStyle w:val="ListBullet"/>
        <w:ind w:left="360" w:hanging="360"/>
      </w:pPr>
      <w:r>
        <w:rPr>
          <w:rFonts w:ascii="Calibri" w:hAnsi="Calibri"/>
          <w:b/>
          <w:color w:val="525866"/>
          <w:sz w:val="22"/>
        </w:rPr>
        <w:t>Read-Through for IDEXX:</w:t>
      </w:r>
      <w:r>
        <w:rPr>
          <w:rFonts w:ascii="Calibri" w:hAnsi="Calibri"/>
          <w:color w:val="525866"/>
          <w:sz w:val="22"/>
        </w:rPr>
        <w:t xml:space="preserve"> ZTS’s companion animal weakness (driven by Librela safety concerns and broader sector softness) is a cautionary signal for IDEXX’s end market. However, IDEXX’s business is diagnostics (not pharmaceuticals), and its Q1 2026 results already demonstrated the ability to grow CAG recurring revenue 11% organically despite a -1% U.S. clinical visit environment. The ZTS situation is more company-specific (Librela) than a broad sector read-through.</w:t>
      </w:r>
    </w:p>
    <w:p>
      <w:pPr>
        <w:pStyle w:val="ListBullet"/>
        <w:ind w:left="360" w:hanging="360"/>
      </w:pPr>
      <w:r>
        <w:rPr>
          <w:rFonts w:ascii="Calibri" w:hAnsi="Calibri"/>
          <w:b/>
          <w:color w:val="525866"/>
          <w:sz w:val="22"/>
        </w:rPr>
        <w:t>Limit:</w:t>
      </w:r>
      <w:r>
        <w:rPr>
          <w:rFonts w:ascii="Calibri" w:hAnsi="Calibri"/>
          <w:color w:val="525866"/>
          <w:sz w:val="22"/>
        </w:rPr>
        <w:t xml:space="preserve"> ZTS has not yet reported Q2 2026 results as of the August 3 cutoff. The pre-report sentiment is based on analyst commentary, not actual results. ZTS’s Q2 2026 print (August 6) will be a post-earnings read-through for IDEXX’s next reporting cycle, not this one.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transaction codes P/S) were identified for IDXX in the period from May 5, 2026 through August 3, 2026 based on available SEC Form 4 data. The absence of discretionary insider selling ahead of a major catalyst window (Q2 earnings + Investor Day) is a mild positive signal — insiders are not rushing to reduce exposure.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sells identified in the May 5 – Aug 3, 2026 window per SEC Form 4 data</w:t>
            </w:r>
          </w:p>
        </w:tc>
      </w:tr>
    </w:tbl>
    <w:p>
      <w:r>
        <w:rPr>
          <w:rFonts w:ascii="Calibri" w:hAnsi="Calibri"/>
          <w:i/>
          <w:color w:val="525866"/>
          <w:sz w:val="22"/>
        </w:rPr>
        <w:t xml:space="preserve">Note: </w:t>
      </w:r>
      <w:r>
        <w:rPr>
          <w:rFonts w:ascii="Calibri" w:hAnsi="Calibri"/>
          <w:i/>
          <w:color w:val="525866"/>
          <w:sz w:val="22"/>
        </w:rPr>
        <w:t>Only open-market purchases (code P) and sales (code S) are included per the earnings preview methodology. Equity award grants, option exercises, and tax-withholding dispositions are excluded. The SEC Form 4 database query for IDXX covering the post-Q1 earnings window returned no matching transactions with codes P or S. This is not unusual for IDEXX, which has historically seen limited discretionary insider trading activity outside of pre-planned 10b5-1 programs. The CEO transition (Erickson effective May 12) and the upcoming Investor Day (August 13) may have created a blackout period that further limits discretionary trading.</w:t>
      </w:r>
    </w:p>
    <w:p>
      <w:r>
        <w:rPr>
          <w:rFonts w:ascii="Calibri" w:hAnsi="Calibri"/>
          <w:i/>
          <w:color w:val="525866"/>
          <w:sz w:val="22"/>
        </w:rPr>
        <w:t xml:space="preserve">Source: </w:t>
      </w:r>
      <w:r>
        <w:rPr>
          <w:rFonts w:ascii="Calibri" w:hAnsi="Calibri"/>
          <w:i/>
          <w:color w:val="525866"/>
          <w:sz w:val="22"/>
        </w:rPr>
        <w:t>SEC Form 4 Filings Database (insider_transactions dataset, transaction codes P/S, May 5 – August 3,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