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IFF thoroughly before writing the preview. Let me start by gathering recent filings, earnings, and news.Let me read the most recent quarter's earnings materials and check recent news/filings.Let me gather recent news, press releases, and stock price data leading into the report.Let me check the term loan 8-K and search for news on the Food Ingredients sale process.The Food Ingredients sale to CVC is the key development. Let me read the details and look for the official announcement.Let me pull the year-ago Q2 2025 figures for comparison and check for analyst consensus.Let me quickly attempt to pull sell-side/consensus context and any recent daily news.I have what I need. Here's the earnings preview.</w:t>
      </w:r>
    </w:p>
    <w:p>
      <w:r>
        <w:pict>
          <v:rect style="width:0;height:1.5pt" o:hralign="center" o:hrstd="t" o:hr="t"/>
        </w:pict>
      </w:r>
    </w:p>
    <w:bookmarkStart w:id="17" w:name="X46569306b9ec6946a0967ec66e3d734fffbbd44"/>
    <w:p>
      <w:pPr>
        <w:pStyle w:val="Heading1"/>
      </w:pPr>
      <w:r>
        <w:t xml:space="preserve">IFF (International Flavors &amp; Fragrances) — Q2 2026 Earnings Preview</w:t>
      </w:r>
    </w:p>
    <w:p>
      <w:pPr>
        <w:pStyle w:val="FirstParagraph"/>
      </w:pPr>
      <w:r>
        <w:rPr>
          <w:b/>
          <w:bCs/>
        </w:rPr>
        <w:t xml:space="preserve">Reports:</w:t>
      </w:r>
      <w:r>
        <w:t xml:space="preserve"> </w:t>
      </w:r>
      <w:r>
        <w:t xml:space="preserve">After market close, Tuesday, August 4, 2026 · Call the following morning · NYSE: IFF</w:t>
      </w:r>
      <w:r>
        <w:t xml:space="preserve"> </w:t>
      </w:r>
      <w:r>
        <w:rPr>
          <w:b/>
          <w:bCs/>
        </w:rPr>
        <w:t xml:space="preserve">Stock:</w:t>
      </w:r>
      <w:r>
        <w:t xml:space="preserve"> </w:t>
      </w:r>
      <w:r>
        <w:t xml:space="preserve">~</w:t>
      </w:r>
      <m:oMath>
        <m:r>
          <m:t>80.60</m:t>
        </m:r>
        <m:r>
          <m:rPr>
            <m:sty m:val="p"/>
          </m:rPr>
          <m:t>(</m:t>
        </m:r>
        <m:r>
          <m:t>A</m:t>
        </m:r>
        <m:r>
          <m:t>u</m:t>
        </m:r>
        <m:r>
          <m:t>g</m:t>
        </m:r>
        <m:r>
          <m:t>3</m:t>
        </m:r>
        <m:r>
          <m:t>c</m:t>
        </m:r>
        <m:r>
          <m:t>l</m:t>
        </m:r>
        <m:r>
          <m:t>o</m:t>
        </m:r>
        <m:r>
          <m:t>s</m:t>
        </m:r>
        <m:r>
          <m:t>e</m:t>
        </m:r>
        <m:r>
          <m:rPr>
            <m:sty m:val="p"/>
          </m:rPr>
          <m:t>)</m:t>
        </m:r>
        <m:r>
          <m:rPr>
            <m:sty m:val="p"/>
          </m:rPr>
          <m:t>,</m:t>
        </m:r>
        <m:r>
          <m:t>u</m:t>
        </m:r>
        <m:r>
          <m:t>p</m:t>
        </m:r>
        <m:r>
          <m:t> </m:t>
        </m:r>
        <m:r>
          <m:t>18</m:t>
        </m:r>
      </m:oMath>
      <w:r>
        <w:t xml:space="preserve">68 to start the year, trading near its recent highs</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a "look-through" quarter. Management has already told investors Q2 will be the</w:t>
      </w:r>
      <w:r>
        <w:t xml:space="preserve"> </w:t>
      </w:r>
      <w:r>
        <w:rPr>
          <w:b/>
          <w:bCs/>
        </w:rPr>
        <w:t xml:space="preserve">soft point of the year</w:t>
      </w:r>
      <w:r>
        <w:t xml:space="preserve">, so the print itself matters less than three things: (1) whether the guided Q2 EBITDA step-down is as-advertised or worse, (2) whether full-year guidance holds, and (3) any fresh detail on the</w:t>
      </w:r>
      <w:r>
        <w:t xml:space="preserve"> </w:t>
      </w:r>
      <w:r>
        <w:rPr>
          <w:b/>
          <w:bCs/>
        </w:rPr>
        <w:t xml:space="preserve">$4.3B Food Ingredients sale to CVC</w:t>
      </w:r>
      <w:r>
        <w:t xml:space="preserve"> </w:t>
      </w:r>
      <w:r>
        <w:t xml:space="preserve">— the transformative event that reshapes IFF into a three-segment company.</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Revenue:</w:t>
      </w:r>
      <w:r>
        <w:t xml:space="preserve"> </w:t>
      </w:r>
      <w:r>
        <w:t xml:space="preserve">~$2.62–2.68B (consensus clustered around $2.6–2.68B), a low-single-digit decline vs. the year-ago $2.76B — the drop is largely divestiture-driven (Pharma Solutions, Nitrocellulose, Rene Laurent, Soy Crush/Concentrates/Lecithin all now gone).</w:t>
      </w:r>
    </w:p>
    <w:p>
      <w:pPr>
        <w:pStyle w:val="Compact"/>
        <w:numPr>
          <w:ilvl w:val="0"/>
          <w:numId w:val="1001"/>
        </w:numPr>
      </w:pPr>
      <w:r>
        <w:rPr>
          <w:b/>
          <w:bCs/>
        </w:rPr>
        <w:t xml:space="preserve">Adjusted EPS ex-amortization:</w:t>
      </w:r>
      <w:r>
        <w:t xml:space="preserve"> </w:t>
      </w:r>
      <w:r>
        <w:t xml:space="preserve">~</w:t>
      </w:r>
      <m:oMath>
        <m:r>
          <m:t>1.13</m:t>
        </m:r>
        <m:r>
          <m:rPr>
            <m:sty m:val="p"/>
          </m:rPr>
          <m:t>–</m:t>
        </m:r>
        <m:r>
          <m:t>1.14</m:t>
        </m:r>
        <m:r>
          <m:rPr>
            <m:sty m:val="p"/>
          </m:rPr>
          <m:t>,</m:t>
        </m:r>
        <m:r>
          <m:t>e</m:t>
        </m:r>
        <m:r>
          <m:t>s</m:t>
        </m:r>
        <m:r>
          <m:t>s</m:t>
        </m:r>
        <m:r>
          <m:t>e</m:t>
        </m:r>
        <m:r>
          <m:t>n</m:t>
        </m:r>
        <m:r>
          <m:t>t</m:t>
        </m:r>
        <m:r>
          <m:t>i</m:t>
        </m:r>
        <m:r>
          <m:t>a</m:t>
        </m:r>
        <m:r>
          <m:t>l</m:t>
        </m:r>
        <m:r>
          <m:t>l</m:t>
        </m:r>
        <m:r>
          <m:t>y</m:t>
        </m:r>
        <m:r>
          <m:t>f</m:t>
        </m:r>
        <m:r>
          <m:t>l</m:t>
        </m:r>
        <m:r>
          <m:t>a</m:t>
        </m:r>
        <m:r>
          <m:t>t</m:t>
        </m:r>
        <m:r>
          <m:rPr>
            <m:sty m:val="p"/>
          </m:rPr>
          <m:t>−</m:t>
        </m:r>
        <m:r>
          <m:t>t</m:t>
        </m:r>
        <m:r>
          <m:t>o</m:t>
        </m:r>
        <m:r>
          <m:rPr>
            <m:sty m:val="p"/>
          </m:rPr>
          <m:t>−</m:t>
        </m:r>
        <m:r>
          <m:t>d</m:t>
        </m:r>
        <m:r>
          <m:t>o</m:t>
        </m:r>
        <m:r>
          <m:t>w</m:t>
        </m:r>
        <m:r>
          <m:t>n</m:t>
        </m:r>
        <m:r>
          <m:t>v</m:t>
        </m:r>
        <m:r>
          <m:t>s</m:t>
        </m:r>
        <m:r>
          <m:rPr>
            <m:sty m:val="p"/>
          </m:rPr>
          <m:t>.</m:t>
        </m:r>
        <m:r>
          <m:rPr>
            <m:sty m:val="p"/>
          </m:rPr>
          <m:t>*</m:t>
        </m:r>
        <m:r>
          <m:rPr>
            <m:sty m:val="p"/>
          </m:rPr>
          <m:t>*</m:t>
        </m:r>
      </m:oMath>
      <w:r>
        <w:t xml:space="preserve">1.15** a year ago.</w:t>
      </w:r>
    </w:p>
    <w:p>
      <w:pPr>
        <w:pStyle w:val="Compact"/>
        <w:numPr>
          <w:ilvl w:val="0"/>
          <w:numId w:val="1001"/>
        </w:numPr>
      </w:pPr>
      <w:r>
        <w:t xml:space="preserve">IFF has beaten consensus in three of the last four quarters, so the bar is modest but the setup is unusually well-telegraphed.</w:t>
      </w:r>
    </w:p>
    <w:p>
      <w:r>
        <w:pict>
          <v:rect style="width:0;height:1.5pt" o:hralign="center" o:hrstd="t" o:hr="t"/>
        </w:pict>
      </w:r>
    </w:p>
    <w:bookmarkEnd w:id="10"/>
    <w:bookmarkStart w:id="11" w:name="Xcd1d797d813a8e1d20a1b8d542282e0e196dc35"/>
    <w:p>
      <w:pPr>
        <w:pStyle w:val="Heading2"/>
      </w:pPr>
      <w:r>
        <w:t xml:space="preserve">Why Q2 is the deliberate low point (management's own framing)</w:t>
      </w:r>
    </w:p>
    <w:p>
      <w:pPr>
        <w:pStyle w:val="FirstParagraph"/>
      </w:pPr>
      <w:r>
        <w:t xml:space="preserve">On the Q1 call (May 6), CFO Michael DeVeau guided</w:t>
      </w:r>
      <w:r>
        <w:t xml:space="preserve"> </w:t>
      </w:r>
      <w:r>
        <w:rPr>
          <w:b/>
          <w:bCs/>
        </w:rPr>
        <w:t xml:space="preserve">Q2 adjusted operating EBITDA below Q1's $568M</w:t>
      </w:r>
      <w:r>
        <w:t xml:space="preserve">, citing three drivers:</w:t>
      </w:r>
    </w:p>
    <w:p>
      <w:pPr>
        <w:pStyle w:val="Compact"/>
        <w:numPr>
          <w:ilvl w:val="0"/>
          <w:numId w:val="1002"/>
        </w:numPr>
      </w:pPr>
      <w:r>
        <w:rPr>
          <w:b/>
          <w:bCs/>
        </w:rPr>
        <w:t xml:space="preserve">Moderating growth</w:t>
      </w:r>
      <w:r>
        <w:t xml:space="preserve"> </w:t>
      </w:r>
      <w:r>
        <w:t xml:space="preserve">vs. a strong Q1 (Q1 delivered +3% comparable currency-neutral sales and +8% CN EBITDA).</w:t>
      </w:r>
    </w:p>
    <w:p>
      <w:pPr>
        <w:pStyle w:val="Compact"/>
        <w:numPr>
          <w:ilvl w:val="0"/>
          <w:numId w:val="1002"/>
        </w:numPr>
      </w:pPr>
      <w:r>
        <w:rPr>
          <w:b/>
          <w:bCs/>
        </w:rPr>
        <w:t xml:space="preserve">Unfavorable price-to-cost:</w:t>
      </w:r>
      <w:r>
        <w:t xml:space="preserve"> </w:t>
      </w:r>
      <w:r>
        <w:t xml:space="preserve">energy and logistics inflation (tied to higher Brent) rising in double digits, while pricing surcharges are only phased in over the quarter — a timing gap that squeezes margin before it recovers.</w:t>
      </w:r>
    </w:p>
    <w:p>
      <w:pPr>
        <w:pStyle w:val="Compact"/>
        <w:numPr>
          <w:ilvl w:val="0"/>
          <w:numId w:val="1002"/>
        </w:numPr>
      </w:pPr>
      <w:r>
        <w:rPr>
          <w:b/>
          <w:bCs/>
        </w:rPr>
        <w:t xml:space="preserve">Middle East / Fine Fragrance softness:</w:t>
      </w:r>
      <w:r>
        <w:t xml:space="preserve"> </w:t>
      </w:r>
      <w:r>
        <w:t xml:space="preserve">IFF's largest Middle East exposure sits in Scent's Fine Fragrance business; slower demand plus temporary supply-chain/packaging disruptions create a negative volume and mix hit.</w:t>
      </w:r>
    </w:p>
    <w:p>
      <w:pPr>
        <w:pStyle w:val="FirstParagraph"/>
      </w:pPr>
      <w:r>
        <w:t xml:space="preserve">Management expects all three pressures to</w:t>
      </w:r>
      <w:r>
        <w:t xml:space="preserve"> </w:t>
      </w:r>
      <w:r>
        <w:rPr>
          <w:b/>
          <w:bCs/>
        </w:rPr>
        <w:t xml:space="preserve">ease through H2</w:t>
      </w:r>
      <w:r>
        <w:t xml:space="preserve"> </w:t>
      </w:r>
      <w:r>
        <w:t xml:space="preserve">as surcharges take full effect. So a sequential EBITDA decline is expected and priced in —</w:t>
      </w:r>
      <w:r>
        <w:t xml:space="preserve"> </w:t>
      </w:r>
      <w:r>
        <w:rPr>
          <w:b/>
          <w:bCs/>
        </w:rPr>
        <w:t xml:space="preserve">watch the magnitude and the commentary on H2 recovery, not the direction.</w:t>
      </w:r>
    </w:p>
    <w:p>
      <w:r>
        <w:pict>
          <v:rect style="width:0;height:1.5pt" o:hralign="center" o:hrstd="t" o:hr="t"/>
        </w:pict>
      </w:r>
    </w:p>
    <w:bookmarkEnd w:id="11"/>
    <w:bookmarkStart w:id="12" w:name="the-main-event-food-ingredients--cvc"/>
    <w:p>
      <w:pPr>
        <w:pStyle w:val="Heading2"/>
      </w:pPr>
      <w:r>
        <w:t xml:space="preserve">The main event: Food Ingredients → CVC</w:t>
      </w:r>
    </w:p>
    <w:p>
      <w:pPr>
        <w:pStyle w:val="FirstParagraph"/>
      </w:pPr>
      <w:r>
        <w:t xml:space="preserve">Announced June 1, 2026 (after WSJ/Reuters reports on May 29):</w:t>
      </w:r>
    </w:p>
    <w:p>
      <w:pPr>
        <w:pStyle w:val="Compact"/>
        <w:numPr>
          <w:ilvl w:val="0"/>
          <w:numId w:val="1003"/>
        </w:numPr>
      </w:pPr>
      <w:r>
        <w:rPr>
          <w:b/>
          <w:bCs/>
        </w:rPr>
        <w:t xml:space="preserve">Buyer:</w:t>
      </w:r>
      <w:r>
        <w:t xml:space="preserve"> </w:t>
      </w:r>
      <w:r>
        <w:t xml:space="preserve">an affiliate of CVC Capital Partners</w:t>
      </w:r>
    </w:p>
    <w:p>
      <w:pPr>
        <w:pStyle w:val="Compact"/>
        <w:numPr>
          <w:ilvl w:val="0"/>
          <w:numId w:val="1003"/>
        </w:numPr>
      </w:pPr>
      <w:r>
        <w:rPr>
          <w:b/>
          <w:bCs/>
        </w:rPr>
        <w:t xml:space="preserve">Enterprise value:</w:t>
      </w:r>
      <w:r>
        <w:t xml:space="preserve"> </w:t>
      </w:r>
      <w:r>
        <w:rPr>
          <w:b/>
          <w:bCs/>
        </w:rPr>
        <w:t xml:space="preserve">~</w:t>
      </w:r>
      <m:oMath>
        <m:r>
          <m:t>4.3</m:t>
        </m:r>
        <m:r>
          <m:t>B</m:t>
        </m:r>
        <m:r>
          <m:rPr>
            <m:sty m:val="p"/>
          </m:rPr>
          <m:t>(</m:t>
        </m:r>
        <m:r>
          <m:t> </m:t>
        </m:r>
        <m:r>
          <m:t>10</m:t>
        </m:r>
        <m:r>
          <m:t>x</m:t>
        </m:r>
        <m:r>
          <m:t>E</m:t>
        </m:r>
        <m:r>
          <m:t>V</m:t>
        </m:r>
        <m:r>
          <m:rPr>
            <m:sty m:val="p"/>
          </m:rPr>
          <m:t>/</m:t>
        </m:r>
        <m:r>
          <m:t>E</m:t>
        </m:r>
        <m:r>
          <m:t>B</m:t>
        </m:r>
        <m:r>
          <m:t>I</m:t>
        </m:r>
        <m:r>
          <m:t>T</m:t>
        </m:r>
        <m:r>
          <m:t>D</m:t>
        </m:r>
        <m:r>
          <m:t>A</m:t>
        </m:r>
        <m:r>
          <m:rPr>
            <m:sty m:val="p"/>
          </m:rPr>
          <m:t>)</m:t>
        </m:r>
        <m:r>
          <m:rPr>
            <m:sty m:val="p"/>
          </m:rPr>
          <m:t>*</m:t>
        </m:r>
        <m:r>
          <m:rPr>
            <m:sty m:val="p"/>
          </m:rPr>
          <m:t>*</m:t>
        </m:r>
        <m:r>
          <m:rPr>
            <m:sty m:val="p"/>
          </m:rPr>
          <m:t>;</m:t>
        </m:r>
        <m:r>
          <m:rPr>
            <m:sty m:val="p"/>
          </m:rPr>
          <m:t>*</m:t>
        </m:r>
        <m:r>
          <m:rPr>
            <m:sty m:val="p"/>
          </m:rPr>
          <m:t>*</m:t>
        </m:r>
        <m:r>
          <m:t> </m:t>
        </m:r>
      </m:oMath>
      <w:r>
        <w:rPr>
          <w:b/>
          <w:bCs/>
        </w:rPr>
        <w:t xml:space="preserve">3.8B net cash proceeds</w:t>
      </w:r>
      <w:r>
        <w:t xml:space="preserve"> </w:t>
      </w:r>
      <w:r>
        <w:t xml:space="preserve">to IFF</w:t>
      </w:r>
    </w:p>
    <w:p>
      <w:pPr>
        <w:pStyle w:val="Compact"/>
        <w:numPr>
          <w:ilvl w:val="0"/>
          <w:numId w:val="1003"/>
        </w:numPr>
      </w:pPr>
      <w:r>
        <w:rPr>
          <w:b/>
          <w:bCs/>
        </w:rPr>
        <w:t xml:space="preserve">Timing:</w:t>
      </w:r>
      <w:r>
        <w:t xml:space="preserve"> </w:t>
      </w:r>
      <w:r>
        <w:t xml:space="preserve">expected to close by</w:t>
      </w:r>
      <w:r>
        <w:t xml:space="preserve"> </w:t>
      </w:r>
      <w:r>
        <w:rPr>
          <w:b/>
          <w:bCs/>
        </w:rPr>
        <w:t xml:space="preserve">end of Q2 2027</w:t>
      </w:r>
    </w:p>
    <w:p>
      <w:pPr>
        <w:pStyle w:val="Compact"/>
        <w:numPr>
          <w:ilvl w:val="0"/>
          <w:numId w:val="1003"/>
        </w:numPr>
      </w:pPr>
      <w:r>
        <w:rPr>
          <w:b/>
          <w:bCs/>
        </w:rPr>
        <w:t xml:space="preserve">EPS impact:</w:t>
      </w:r>
      <w:r>
        <w:t xml:space="preserve"> </w:t>
      </w:r>
      <w:r>
        <w:t xml:space="preserve">expected</w:t>
      </w:r>
      <w:r>
        <w:t xml:space="preserve"> </w:t>
      </w:r>
      <w:r>
        <w:rPr>
          <w:b/>
          <w:bCs/>
        </w:rPr>
        <w:t xml:space="preserve">dilutive in the first 12 months</w:t>
      </w:r>
    </w:p>
    <w:p>
      <w:pPr>
        <w:pStyle w:val="Compact"/>
        <w:numPr>
          <w:ilvl w:val="0"/>
          <w:numId w:val="1003"/>
        </w:numPr>
      </w:pPr>
      <w:r>
        <w:rPr>
          <w:b/>
          <w:bCs/>
        </w:rPr>
        <w:t xml:space="preserve">Balance sheet mechanics:</w:t>
      </w:r>
      <w:r>
        <w:t xml:space="preserve"> </w:t>
      </w:r>
      <w:r>
        <w:t xml:space="preserve">IFF put a</w:t>
      </w:r>
      <w:r>
        <w:t xml:space="preserve"> </w:t>
      </w:r>
      <w:r>
        <w:rPr>
          <w:b/>
          <w:bCs/>
        </w:rPr>
        <w:t xml:space="preserve">$1.0B delayed-draw term loan</w:t>
      </w:r>
      <w:r>
        <w:t xml:space="preserve"> </w:t>
      </w:r>
      <w:r>
        <w:t xml:space="preserve">in place (June 23) to refinance €800M of 1.8% notes due Sept 2026; the term loan must be prepaid with 100% of FI sale proceeds.</w:t>
      </w:r>
    </w:p>
    <w:p>
      <w:pPr>
        <w:pStyle w:val="FirstParagraph"/>
      </w:pPr>
      <w:r>
        <w:rPr>
          <w:b/>
          <w:bCs/>
        </w:rPr>
        <w:t xml:space="preserve">Why it matters:</w:t>
      </w:r>
      <w:r>
        <w:t xml:space="preserve"> </w:t>
      </w:r>
      <w:r>
        <w:t xml:space="preserve">This completes CEO Erik Fyrwald's two-year portfolio-simplification arc (after Pharma Solutions to Roquette for $2.85B and the smaller Bunge soy-crush sale). Post-close, IFF becomes a focused</w:t>
      </w:r>
      <w:r>
        <w:t xml:space="preserve"> </w:t>
      </w:r>
      <w:r>
        <w:rPr>
          <w:b/>
          <w:bCs/>
        </w:rPr>
        <w:t xml:space="preserve">three-segment</w:t>
      </w:r>
      <w:r>
        <w:t xml:space="preserve"> </w:t>
      </w:r>
      <w:r>
        <w:t xml:space="preserve">business:</w:t>
      </w:r>
      <w:r>
        <w:t xml:space="preserve"> </w:t>
      </w:r>
      <w:r>
        <w:rPr>
          <w:b/>
          <w:bCs/>
        </w:rPr>
        <w:t xml:space="preserve">Taste, Health &amp; Biosciences, and Scent.</w:t>
      </w:r>
      <w:r>
        <w:t xml:space="preserve"> </w:t>
      </w:r>
      <w:r>
        <w:t xml:space="preserve">Note the irony that FI has actually been executing well (Q1: $839M sales, $114M EBITDA, 13.6% margin; management targets &gt;14% for 2026) — its strong run improved the sale price.</w:t>
      </w:r>
    </w:p>
    <w:p>
      <w:pPr>
        <w:pStyle w:val="BodyText"/>
      </w:pPr>
      <w:r>
        <w:rPr>
          <w:b/>
          <w:bCs/>
        </w:rPr>
        <w:t xml:space="preserve">What to listen for on the call:</w:t>
      </w:r>
    </w:p>
    <w:p>
      <w:pPr>
        <w:pStyle w:val="Compact"/>
        <w:numPr>
          <w:ilvl w:val="0"/>
          <w:numId w:val="1004"/>
        </w:numPr>
      </w:pPr>
      <w:r>
        <w:t xml:space="preserve">Use of the ~$3.8B: management has signaled it will keep net leverage around</w:t>
      </w:r>
      <w:r>
        <w:t xml:space="preserve"> </w:t>
      </w:r>
      <w:r>
        <w:rPr>
          <w:b/>
          <w:bCs/>
        </w:rPr>
        <w:t xml:space="preserve">2.5x</w:t>
      </w:r>
      <w:r>
        <w:t xml:space="preserve"> </w:t>
      </w:r>
      <w:r>
        <w:t xml:space="preserve">and use excess to</w:t>
      </w:r>
      <w:r>
        <w:t xml:space="preserve"> </w:t>
      </w:r>
      <w:r>
        <w:rPr>
          <w:b/>
          <w:bCs/>
        </w:rPr>
        <w:t xml:space="preserve">offset dilution via buybacks</w:t>
      </w:r>
      <w:r>
        <w:t xml:space="preserve">, plus fund bolt-ons/organic reinvestment.</w:t>
      </w:r>
    </w:p>
    <w:p>
      <w:pPr>
        <w:pStyle w:val="Compact"/>
        <w:numPr>
          <w:ilvl w:val="0"/>
          <w:numId w:val="1004"/>
        </w:numPr>
      </w:pPr>
      <w:r>
        <w:t xml:space="preserve">Updated</w:t>
      </w:r>
      <w:r>
        <w:t xml:space="preserve"> </w:t>
      </w:r>
      <w:r>
        <w:rPr>
          <w:b/>
          <w:bCs/>
        </w:rPr>
        <w:t xml:space="preserve">pro-forma segment structure, margins, and any new medium-term financial framework</w:t>
      </w:r>
      <w:r>
        <w:t xml:space="preserve"> </w:t>
      </w:r>
      <w:r>
        <w:t xml:space="preserve">for the slimmed-down company.</w:t>
      </w:r>
    </w:p>
    <w:p>
      <w:pPr>
        <w:pStyle w:val="Compact"/>
        <w:numPr>
          <w:ilvl w:val="0"/>
          <w:numId w:val="1004"/>
        </w:numPr>
      </w:pPr>
      <w:r>
        <w:t xml:space="preserve">Regulatory/closing confidence and any pre-close cash costs.</w:t>
      </w:r>
    </w:p>
    <w:p>
      <w:r>
        <w:pict>
          <v:rect style="width:0;height:1.5pt" o:hralign="center" o:hrstd="t" o:hr="t"/>
        </w:pict>
      </w:r>
    </w:p>
    <w:bookmarkEnd w:id="12"/>
    <w:bookmarkStart w:id="13" w:name="full-year-2026-guidance--will-it-hold"/>
    <w:p>
      <w:pPr>
        <w:pStyle w:val="Heading2"/>
      </w:pPr>
      <w:r>
        <w:t xml:space="preserve">Full-year 2026 guidance — will it hold?</w:t>
      </w:r>
    </w:p>
    <w:p>
      <w:pPr>
        <w:pStyle w:val="FirstParagraph"/>
      </w:pPr>
      <w:r>
        <w:t xml:space="preserve">Reaffirmed at Q1:</w:t>
      </w:r>
    </w:p>
    <w:p>
      <w:pPr>
        <w:pStyle w:val="Compact"/>
        <w:numPr>
          <w:ilvl w:val="0"/>
          <w:numId w:val="1005"/>
        </w:numPr>
      </w:pPr>
      <w:r>
        <w:rPr>
          <w:b/>
          <w:bCs/>
        </w:rPr>
        <w:t xml:space="preserve">Sales:</w:t>
      </w:r>
      <w:r>
        <w:t xml:space="preserve"> </w:t>
      </w:r>
      <w:r>
        <w:t xml:space="preserve">$10.5–10.8B (</w:t>
      </w:r>
      <w:r>
        <w:rPr>
          <w:b/>
          <w:bCs/>
        </w:rPr>
        <w:t xml:space="preserve">1–4% comparable CN growth</w:t>
      </w:r>
      <w:r>
        <w:t xml:space="preserve">); FX ~+1% tailwind; divestitures ~-5% headwind</w:t>
      </w:r>
    </w:p>
    <w:p>
      <w:pPr>
        <w:pStyle w:val="Compact"/>
        <w:numPr>
          <w:ilvl w:val="0"/>
          <w:numId w:val="1005"/>
        </w:numPr>
      </w:pPr>
      <w:r>
        <w:rPr>
          <w:b/>
          <w:bCs/>
        </w:rPr>
        <w:t xml:space="preserve">Adjusted operating EBITDA:</w:t>
      </w:r>
      <w:r>
        <w:t xml:space="preserve"> </w:t>
      </w:r>
      <w:r>
        <w:t xml:space="preserve">$2.05–2.15B (</w:t>
      </w:r>
      <w:r>
        <w:rPr>
          <w:b/>
          <w:bCs/>
        </w:rPr>
        <w:t xml:space="preserve">3–8% CN growth</w:t>
      </w:r>
      <w:r>
        <w:t xml:space="preserve">) with margin expansion</w:t>
      </w:r>
    </w:p>
    <w:p>
      <w:pPr>
        <w:pStyle w:val="FirstParagraph"/>
      </w:pPr>
      <w:r>
        <w:t xml:space="preserve">Management characterized the year as</w:t>
      </w:r>
      <w:r>
        <w:t xml:space="preserve"> </w:t>
      </w:r>
      <w:r>
        <w:rPr>
          <w:b/>
          <w:bCs/>
        </w:rPr>
        <w:t xml:space="preserve">"a different shape"</w:t>
      </w:r>
      <w:r>
        <w:t xml:space="preserve"> </w:t>
      </w:r>
      <w:r>
        <w:t xml:space="preserve">— stronger Q1, softer Q2, recovery in H2 — but with an unchanged full-year goal. Given the Q1 beat, the debate is whether they</w:t>
      </w:r>
      <w:r>
        <w:t xml:space="preserve"> </w:t>
      </w:r>
      <w:r>
        <w:rPr>
          <w:b/>
          <w:bCs/>
        </w:rPr>
        <w:t xml:space="preserve">nudge guidance up, hold, or trim</w:t>
      </w:r>
      <w:r>
        <w:t xml:space="preserve"> </w:t>
      </w:r>
      <w:r>
        <w:t xml:space="preserve">on Middle East uncertainty. A simple reaffirmation is most likely; any raise would be a positive surprise, any cut a red flag.</w:t>
      </w:r>
    </w:p>
    <w:p>
      <w:r>
        <w:pict>
          <v:rect style="width:0;height:1.5pt" o:hralign="center" o:hrstd="t" o:hr="t"/>
        </w:pict>
      </w:r>
    </w:p>
    <w:bookmarkEnd w:id="13"/>
    <w:bookmarkStart w:id="14" w:name="segment-scorecard--what-to-watch"/>
    <w:p>
      <w:pPr>
        <w:pStyle w:val="Heading2"/>
      </w:pPr>
      <w:r>
        <w:t xml:space="preserve">Segment scorecard — what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Q1'26 EBITDA / margin</w:t>
            </w:r>
          </w:p>
        </w:tc>
        <w:tc>
          <w:tcPr/>
          <w:p>
            <w:pPr>
              <w:pStyle w:val="Compact"/>
            </w:pPr>
            <w:r>
              <w:t xml:space="preserve">Story into Q2</w:t>
            </w:r>
          </w:p>
        </w:tc>
      </w:tr>
      <w:tr>
        <w:tc>
          <w:tcPr/>
          <w:p>
            <w:pPr>
              <w:pStyle w:val="Compact"/>
            </w:pPr>
            <w:r>
              <w:rPr>
                <w:b/>
                <w:bCs/>
              </w:rPr>
              <w:t xml:space="preserve">Taste</w:t>
            </w:r>
          </w:p>
        </w:tc>
        <w:tc>
          <w:tcPr/>
          <w:p>
            <w:pPr>
              <w:pStyle w:val="Compact"/>
            </w:pPr>
            <w:r>
              <w:t xml:space="preserve">$153M / 23.3% (+18% CN)</w:t>
            </w:r>
          </w:p>
        </w:tc>
        <w:tc>
          <w:tcPr/>
          <w:p>
            <w:pPr>
              <w:pStyle w:val="Compact"/>
            </w:pPr>
            <w:r>
              <w:t xml:space="preserve">Best performer; Q1 margin was a high-water mark. Management flagged this level of leverage won't repeat —</w:t>
            </w:r>
            <w:r>
              <w:t xml:space="preserve"> </w:t>
            </w:r>
            <w:r>
              <w:rPr>
                <w:b/>
                <w:bCs/>
              </w:rPr>
              <w:t xml:space="preserve">expect normalization.</w:t>
            </w:r>
          </w:p>
        </w:tc>
      </w:tr>
      <w:tr>
        <w:tc>
          <w:tcPr/>
          <w:p>
            <w:pPr>
              <w:pStyle w:val="Compact"/>
            </w:pPr>
            <w:r>
              <w:rPr>
                <w:b/>
                <w:bCs/>
              </w:rPr>
              <w:t xml:space="preserve">Health &amp; Biosciences</w:t>
            </w:r>
          </w:p>
        </w:tc>
        <w:tc>
          <w:tcPr/>
          <w:p>
            <w:pPr>
              <w:pStyle w:val="Compact"/>
            </w:pPr>
            <w:r>
              <w:t xml:space="preserve">$153M / 25.7% (+7% CN)</w:t>
            </w:r>
          </w:p>
        </w:tc>
        <w:tc>
          <w:tcPr/>
          <w:p>
            <w:pPr>
              <w:pStyle w:val="Compact"/>
            </w:pPr>
            <w:r>
              <w:t xml:space="preserve">Enzymes/cultures strong;</w:t>
            </w:r>
            <w:r>
              <w:t xml:space="preserve"> </w:t>
            </w:r>
            <w:r>
              <w:rPr>
                <w:b/>
                <w:bCs/>
              </w:rPr>
              <w:t xml:space="preserve">North America "Health" sub-business is the turnaround</w:t>
            </w:r>
            <w:r>
              <w:t xml:space="preserve"> </w:t>
            </w:r>
            <w:r>
              <w:t xml:space="preserve">— expected to inflect from flat in H1 to growth in H2, accelerating into 2027.</w:t>
            </w:r>
          </w:p>
        </w:tc>
      </w:tr>
      <w:tr>
        <w:tc>
          <w:tcPr/>
          <w:p>
            <w:pPr>
              <w:pStyle w:val="Compact"/>
            </w:pPr>
            <w:r>
              <w:rPr>
                <w:b/>
                <w:bCs/>
              </w:rPr>
              <w:t xml:space="preserve">Scent</w:t>
            </w:r>
          </w:p>
        </w:tc>
        <w:tc>
          <w:tcPr/>
          <w:p>
            <w:pPr>
              <w:pStyle w:val="Compact"/>
            </w:pPr>
            <w:r>
              <w:t xml:space="preserve">$148M / 22.7% (−2% CN)</w:t>
            </w:r>
          </w:p>
        </w:tc>
        <w:tc>
          <w:tcPr/>
          <w:p>
            <w:pPr>
              <w:pStyle w:val="Compact"/>
            </w:pPr>
            <w:r>
              <w:t xml:space="preserve">The pressure point:</w:t>
            </w:r>
            <w:r>
              <w:t xml:space="preserve"> </w:t>
            </w:r>
            <w:r>
              <w:rPr>
                <w:b/>
                <w:bCs/>
              </w:rPr>
              <w:t xml:space="preserve">Fine Fragrance/Middle East softness</w:t>
            </w:r>
            <w:r>
              <w:t xml:space="preserve"> </w:t>
            </w:r>
            <w:r>
              <w:t xml:space="preserve">in Q2, plus a persistent drag from</w:t>
            </w:r>
            <w:r>
              <w:t xml:space="preserve"> </w:t>
            </w:r>
            <w:r>
              <w:rPr>
                <w:b/>
                <w:bCs/>
              </w:rPr>
              <w:t xml:space="preserve">commodity Fragrance Ingredients</w:t>
            </w:r>
            <w:r>
              <w:t xml:space="preserve"> </w:t>
            </w:r>
            <w:r>
              <w:t xml:space="preserve">(~half of ~$500M FI ingredient sales) facing Indian/Chinese price competition — being deemphasized through 2027.</w:t>
            </w:r>
          </w:p>
        </w:tc>
      </w:tr>
      <w:tr>
        <w:tc>
          <w:tcPr/>
          <w:p>
            <w:pPr>
              <w:pStyle w:val="Compact"/>
            </w:pPr>
            <w:r>
              <w:rPr>
                <w:b/>
                <w:bCs/>
              </w:rPr>
              <w:t xml:space="preserve">Food Ingredients</w:t>
            </w:r>
          </w:p>
        </w:tc>
        <w:tc>
          <w:tcPr/>
          <w:p>
            <w:pPr>
              <w:pStyle w:val="Compact"/>
            </w:pPr>
            <w:r>
              <w:t xml:space="preserve">$114M / 13.6% (+12% CN)</w:t>
            </w:r>
          </w:p>
        </w:tc>
        <w:tc>
          <w:tcPr/>
          <w:p>
            <w:pPr>
              <w:pStyle w:val="Compact"/>
            </w:pPr>
            <w:r>
              <w:t xml:space="preserve">Now the "held-for-sale" crown jewel; watch for margin durability and any reclassification/discontinued-ops treatment.</w:t>
            </w:r>
          </w:p>
        </w:tc>
      </w:tr>
    </w:tbl>
    <w:p>
      <w:r>
        <w:pict>
          <v:rect style="width:0;height:1.5pt" o:hralign="center" o:hrstd="t" o:hr="t"/>
        </w:pict>
      </w:r>
    </w:p>
    <w:bookmarkEnd w:id="14"/>
    <w:bookmarkStart w:id="15" w:name="other-things-to-track"/>
    <w:p>
      <w:pPr>
        <w:pStyle w:val="Heading2"/>
      </w:pPr>
      <w:r>
        <w:t xml:space="preserve">Other things to track</w:t>
      </w:r>
    </w:p>
    <w:p>
      <w:pPr>
        <w:pStyle w:val="Compact"/>
        <w:numPr>
          <w:ilvl w:val="0"/>
          <w:numId w:val="1006"/>
        </w:numPr>
      </w:pPr>
      <w:r>
        <w:rPr>
          <w:b/>
          <w:bCs/>
        </w:rPr>
        <w:t xml:space="preserve">Free cash flow:</w:t>
      </w:r>
      <w:r>
        <w:t xml:space="preserve"> </w:t>
      </w:r>
      <w:r>
        <w:t xml:space="preserve">A stated 2026 priority (working capital, lower interest, lower incentive comp). Q1 FCF swung +$144M YoY to $92M. Management expects a "meaningful" full-year improvement vs. 2025 but has withheld a hard target pending the FI sale.</w:t>
      </w:r>
    </w:p>
    <w:p>
      <w:pPr>
        <w:pStyle w:val="Compact"/>
        <w:numPr>
          <w:ilvl w:val="0"/>
          <w:numId w:val="1006"/>
        </w:numPr>
      </w:pPr>
      <w:r>
        <w:rPr>
          <w:b/>
          <w:bCs/>
        </w:rPr>
        <w:t xml:space="preserve">Pricing/inflation dynamic:</w:t>
      </w:r>
      <w:r>
        <w:t xml:space="preserve"> </w:t>
      </w:r>
      <w:r>
        <w:t xml:space="preserve">IFF frames pricing as a pass-through, not a margin grab — surcharges (logistics/energy) first, then raw-material pricing over a typical 12–18 month cycle. Any sign of customer pushback or demand elasticity is worth noting.</w:t>
      </w:r>
    </w:p>
    <w:p>
      <w:pPr>
        <w:pStyle w:val="Compact"/>
        <w:numPr>
          <w:ilvl w:val="0"/>
          <w:numId w:val="1006"/>
        </w:numPr>
      </w:pPr>
      <w:r>
        <w:rPr>
          <w:b/>
          <w:bCs/>
        </w:rPr>
        <w:t xml:space="preserve">Capital returns:</w:t>
      </w:r>
      <w:r>
        <w:t xml:space="preserve"> </w:t>
      </w:r>
      <w:r>
        <w:t xml:space="preserve">~$102M/quarter dividend; $500M buyback authorization (from Sept 2025); Q1 saw $35M repurchased to offset dilution.</w:t>
      </w:r>
    </w:p>
    <w:p>
      <w:pPr>
        <w:pStyle w:val="Compact"/>
        <w:numPr>
          <w:ilvl w:val="0"/>
          <w:numId w:val="1006"/>
        </w:numPr>
      </w:pPr>
      <w:r>
        <w:rPr>
          <w:b/>
          <w:bCs/>
        </w:rPr>
        <w:t xml:space="preserve">Insider signal:</w:t>
      </w:r>
      <w:r>
        <w:t xml:space="preserve"> </w:t>
      </w:r>
      <w:r>
        <w:t xml:space="preserve">Director Paul Fribourg bought ~$1.0M of stock on June 1 (≈24% increase in his holdings) — a notable vote of confidence right as the CVC deal was announced.</w:t>
      </w:r>
    </w:p>
    <w:p>
      <w:pPr>
        <w:pStyle w:val="Compact"/>
        <w:numPr>
          <w:ilvl w:val="0"/>
          <w:numId w:val="1006"/>
        </w:numPr>
      </w:pPr>
      <w:r>
        <w:rPr>
          <w:b/>
          <w:bCs/>
        </w:rPr>
        <w:t xml:space="preserve">Legacy overhang:</w:t>
      </w:r>
      <w:r>
        <w:t xml:space="preserve"> </w:t>
      </w:r>
      <w:r>
        <w:t xml:space="preserve">ongoing fragrance-industry antitrust/regulatory investigation costs continue to run through adjustments.</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Expect a deliberately weak-looking Q2 — sequentially lower EBITDA, roughly flat/down EPS (~$1.13–1.14) — that management has pre-committed to. The stock, up ~18% YTD and near highs after a +17% pop on the Q1 beat, is pricing in execution and the CVC deal, so</w:t>
      </w:r>
      <w:r>
        <w:t xml:space="preserve"> </w:t>
      </w:r>
      <w:r>
        <w:rPr>
          <w:b/>
          <w:bCs/>
        </w:rPr>
        <w:t xml:space="preserve">the risk/reward hinges on:</w:t>
      </w:r>
    </w:p>
    <w:p>
      <w:pPr>
        <w:pStyle w:val="Compact"/>
        <w:numPr>
          <w:ilvl w:val="0"/>
          <w:numId w:val="1007"/>
        </w:numPr>
      </w:pPr>
      <w:r>
        <w:rPr>
          <w:b/>
          <w:bCs/>
        </w:rPr>
        <w:t xml:space="preserve">Positive:</w:t>
      </w:r>
      <w:r>
        <w:t xml:space="preserve"> </w:t>
      </w:r>
      <w:r>
        <w:t xml:space="preserve">full-year guide held/raised, Q2 downdraft no worse than guided, concrete plan for the $3.8B in proceeds (buybacks + deleveraging), and evidence the H2 recovery/Health turnaround is on track.</w:t>
      </w:r>
    </w:p>
    <w:p>
      <w:pPr>
        <w:pStyle w:val="Compact"/>
        <w:numPr>
          <w:ilvl w:val="0"/>
          <w:numId w:val="1007"/>
        </w:numPr>
      </w:pPr>
      <w:r>
        <w:rPr>
          <w:b/>
          <w:bCs/>
        </w:rPr>
        <w:t xml:space="preserve">Negative:</w:t>
      </w:r>
      <w:r>
        <w:t xml:space="preserve"> </w:t>
      </w:r>
      <w:r>
        <w:t xml:space="preserve">a deeper-than-expected Middle East/Fine Fragrance hit, guidance cut, weaker FCF, or any wobble on the CVC deal timeline or terms.</w:t>
      </w:r>
    </w:p>
    <w:p>
      <w:pPr>
        <w:pStyle w:val="FirstParagraph"/>
      </w:pPr>
      <w:r>
        <w:t xml:space="preserve">Given how carefully management pre-framed this quarter, the</w:t>
      </w:r>
      <w:r>
        <w:t xml:space="preserve"> </w:t>
      </w:r>
      <w:r>
        <w:rPr>
          <w:b/>
          <w:bCs/>
        </w:rPr>
        <w:t xml:space="preserve">narrative on the second half and the newly-focused three-segment IFF will drive the stock more than the Q2 numbers themselves.</w:t>
      </w:r>
    </w:p>
    <w:p>
      <w:r>
        <w:pict>
          <v:rect style="width:0;height:1.5pt" o:hralign="center" o:hrstd="t" o:hr="t"/>
        </w:pict>
      </w:r>
    </w:p>
    <w:p>
      <w:pPr>
        <w:pStyle w:val="FirstParagraph"/>
      </w:pPr>
      <w:r>
        <w:rPr>
          <w:i/>
          <w:iCs/>
        </w:rPr>
        <w:t xml:space="preserve">Sources: IFF Q1 2026 earnings call &amp; release (May 5–6, 2026); Q2 2025 earnings release (Aug 5, 2025); IFF 8-K term-loan filing (June 23, 2026); IFF/CVC Food Ingredients sale announcement (June 1, 2026) and related news (May 29, 2026); consensus and preview estimates from Zacks/TradingView/MarketBeat/Defense World (late July–Aug 2026); Finnhub price data.</w:t>
      </w:r>
    </w:p>
    <w:p>
      <w:pPr>
        <w:pStyle w:val="BodyText"/>
      </w:pPr>
      <w:r>
        <w:rPr>
          <w:i/>
          <w:iCs/>
        </w:rPr>
        <w:t xml:space="preserve">This is a research summary, not investment advice.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2026-08-04T01:58:06Z</dcterms:created>
  <dcterms:modified xsi:type="dcterms:W3CDTF">2026-08-04T01:58:06Z</dcterms:modified>
</cp:coreProperties>
</file>

<file path=docProps/custom.xml><?xml version="1.0" encoding="utf-8"?>
<Properties xmlns="http://schemas.openxmlformats.org/officeDocument/2006/custom-properties" xmlns:vt="http://schemas.openxmlformats.org/officeDocument/2006/docPropsVTypes"/>
</file>