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~$2.72B vs. cons $2.68B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~$540M vs. cons $525M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 ex-amortization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~$10.65B (midpoint of $10.5-10.8B) vs. cons $10.62B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(midpoint of $2.05-2.15B) vs. cons $2.08B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guidance/commentary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750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y</m:t>
              </m:r>
              <m:r>
                <m:rPr>
                  <m:sty m:val="p"/>
                </m:rPr>
                <m:t>/</m:t>
              </m:r>
              <m:r>
                <m:t>y</m:t>
              </m:r>
              <m:r>
                <m:t>i</m:t>
              </m:r>
              <m:r>
                <m:t>m</m:t>
              </m:r>
              <m:r>
                <m:t>p</m:t>
              </m:r>
              <m:r>
                <m:t>r</m:t>
              </m:r>
              <m:r>
                <m:t>o</m:t>
              </m:r>
              <m:r>
                <m:t>v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Initial pop from a likely EPS/EBITDA beat (consistent with IFF's beat history and positive Zacks ESP) should fade over the week as analysts digest reaffirmed-but-unchanged full-year guidance that still embeds a flagged sequential EBITDA step-down, lingering Middle East-driven Fine Fragrance softness, and the dilutive/complex CVC Food Ingredients divestiture overhang (12-month EPS dilution, stranded costs, ~1-year-out close). These out-period puts-and-takes typically cause sell-side models to trim H2/FY2027 estimates even after a clean beat, capping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2026-08-04T02:06:24Z</dcterms:created>
  <dcterms:modified xsi:type="dcterms:W3CDTF">2026-08-04T02:06:24Z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