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ff-earnings-predictions--2026-08-04"/>
    <w:p>
      <w:pPr>
        <w:pStyle w:val="Heading1"/>
      </w:pPr>
      <w:r>
        <w:t xml:space="preserve">IFF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~$2.720B vs. cons $2.692B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~$537M vs. cons $530M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~$1.14 vs. cons $1.12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10.8B vs. cons $10.74B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2.15B vs. cons $2.107B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+0.9% (FADE)</w:t>
            </w:r>
          </w:p>
        </w:tc>
        <w:tc>
          <w:tcPr/>
          <w:p>
            <w:pPr>
              <w:pStyle w:val="Compact"/>
            </w:pPr>
            <w:r>
              <w:t xml:space="preserve">A modest Q2 EBITDA beat of ~$537M vs.</w:t>
            </w:r>
            <w:r>
              <w:t xml:space="preserve"> </w:t>
            </w:r>
            <m:oMath>
              <m:r>
                <m:t>530</m:t>
              </m:r>
              <m:r>
                <m:t>M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Q</m:t>
              </m:r>
              <m:r>
                <m:t>2</m:t>
              </m:r>
              <m:r>
                <m:t>w</m:t>
              </m:r>
              <m:r>
                <m:t>a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t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d</m:t>
              </m:r>
              <m:r>
                <m:t>a</m:t>
              </m:r>
              <m:r>
                <m:t>y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2.10B vs.</w:t>
            </w:r>
            <w:r>
              <w:t xml:space="preserve"> </w:t>
            </w:r>
            <m:oMath>
              <m:r>
                <m:t>2.107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995M of H2 EBITDA versus approximately $1.009B embedded before the report, creating modest out-period estimate cuts and a five-day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2026-08-04T02:00:14Z</dcterms:created>
  <dcterms:modified xsi:type="dcterms:W3CDTF">2026-08-04T02:00:14Z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