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iff-q2-2026-earnings-preview"/>
    <w:p>
      <w:pPr>
        <w:pStyle w:val="Heading1"/>
      </w:pPr>
      <w:r>
        <w:t xml:space="preserve">IFF Q2 2026 Earnings Preview</w:t>
      </w:r>
    </w:p>
    <w:p>
      <w:pPr>
        <w:pStyle w:val="BlockText"/>
      </w:pPr>
      <w:r>
        <w:rPr>
          <w:b/>
          <w:bCs/>
        </w:rPr>
        <w:t xml:space="preserve">Timing clarification:</w:t>
      </w:r>
      <w:r>
        <w:t xml:space="preserve"> </w:t>
      </w:r>
      <w:r>
        <w:t xml:space="preserve">IFF is scheduled to release results</w:t>
      </w:r>
      <w:r>
        <w:t xml:space="preserve"> </w:t>
      </w:r>
      <w:r>
        <w:rPr>
          <w:b/>
          <w:bCs/>
        </w:rPr>
        <w:t xml:space="preserve">after the market closes today, Tuesday, August 4, 2026</w:t>
      </w:r>
      <w:r>
        <w:t xml:space="preserve">. The earnings call is</w:t>
      </w:r>
      <w:r>
        <w:t xml:space="preserve"> </w:t>
      </w:r>
      <w:r>
        <w:rPr>
          <w:b/>
          <w:bCs/>
        </w:rPr>
        <w:t xml:space="preserve">tomorrow, Wednesday, August 5, at 9:00 a.m. ET</w:t>
      </w:r>
      <w:r>
        <w:t xml:space="preserve">. (</w:t>
      </w:r>
      <w:hyperlink r:id="rId9">
        <w:r>
          <w:rPr>
            <w:rStyle w:val="Hyperlink"/>
          </w:rPr>
          <w:t xml:space="preserve">ir.iff.com</w:t>
        </w:r>
      </w:hyperlink>
      <w:r>
        <w:t xml:space="preserve">)</w:t>
      </w:r>
    </w:p>
    <w:bookmarkStart w:id="11" w:name="the-setup"/>
    <w:p>
      <w:pPr>
        <w:pStyle w:val="Heading2"/>
      </w:pPr>
      <w:r>
        <w:t xml:space="preserve">The setup</w:t>
      </w:r>
    </w:p>
    <w:p>
      <w:pPr>
        <w:pStyle w:val="FirstParagraph"/>
      </w:pPr>
      <w:r>
        <w:t xml:space="preserve">This report is less about whether IFF can produce a modest quarterly beat and more about whether management can preserve its</w:t>
      </w:r>
      <w:r>
        <w:t xml:space="preserve"> </w:t>
      </w:r>
      <w:r>
        <w:rPr>
          <w:b/>
          <w:bCs/>
        </w:rPr>
        <w:t xml:space="preserve">full-year margin and cash-flow story</w:t>
      </w:r>
      <w:r>
        <w:t xml:space="preserve"> </w:t>
      </w:r>
      <w:r>
        <w:t xml:space="preserve">after warning that Q2 would be the most difficult part of 2026.</w:t>
      </w:r>
    </w:p>
    <w:p>
      <w:pPr>
        <w:pStyle w:val="BodyText"/>
      </w:pPr>
      <w:r>
        <w:t xml:space="preserve">IFF entered the quarter with good momentum. First-quarter comparable currency-neutral sales grew 3%, adjusted operating EBITDA rose 8% to $568 million, and free cash flow improved by $144 million year over year to $92 million. However, management explicitly said Q2 EBITDA would fall below Q1 because of:</w:t>
      </w:r>
    </w:p>
    <w:p>
      <w:pPr>
        <w:pStyle w:val="Compact"/>
        <w:numPr>
          <w:ilvl w:val="0"/>
          <w:numId w:val="1001"/>
        </w:numPr>
      </w:pPr>
      <w:r>
        <w:t xml:space="preserve">More moderate volume growth</w:t>
      </w:r>
    </w:p>
    <w:p>
      <w:pPr>
        <w:pStyle w:val="Compact"/>
        <w:numPr>
          <w:ilvl w:val="0"/>
          <w:numId w:val="1001"/>
        </w:numPr>
      </w:pPr>
      <w:r>
        <w:t xml:space="preserve">Higher energy and logistics costs before pricing fully catches up</w:t>
      </w:r>
    </w:p>
    <w:p>
      <w:pPr>
        <w:pStyle w:val="Compact"/>
        <w:numPr>
          <w:ilvl w:val="0"/>
          <w:numId w:val="1001"/>
        </w:numPr>
      </w:pPr>
      <w:r>
        <w:t xml:space="preserve">Middle East weakness and supply-chain disruption in Fine Fragrance</w:t>
      </w:r>
    </w:p>
    <w:p>
      <w:pPr>
        <w:pStyle w:val="Compact"/>
        <w:numPr>
          <w:ilvl w:val="0"/>
          <w:numId w:val="1001"/>
        </w:numPr>
      </w:pPr>
      <w:r>
        <w:t xml:space="preserve">Unfavorable mix within Scent</w:t>
      </w:r>
    </w:p>
    <w:p>
      <w:pPr>
        <w:pStyle w:val="FirstParagraph"/>
      </w:pPr>
      <w:r>
        <w:t xml:space="preserve">The subsequent agreement to sell Food Ingredients has substantially improved the strategic picture, but the near-term earnings question remains:</w:t>
      </w:r>
      <w:r>
        <w:t xml:space="preserve"> </w:t>
      </w:r>
      <w:r>
        <w:rPr>
          <w:b/>
          <w:bCs/>
        </w:rPr>
        <w:t xml:space="preserve">Can productivity and core-business growth offset the expected price-cost squeeze?</w:t>
      </w:r>
      <w:r>
        <w:t xml:space="preserve"> </w:t>
      </w:r>
      <w:r>
        <w:t xml:space="preserve">(</w:t>
      </w:r>
      <w:hyperlink r:id="rId10">
        <w:r>
          <w:rPr>
            <w:rStyle w:val="Hyperlink"/>
          </w:rPr>
          <w:t xml:space="preserve">ir.iff.com</w:t>
        </w:r>
      </w:hyperlink>
      <w:r>
        <w:t xml:space="preserve">)</w:t>
      </w:r>
    </w:p>
    <w:bookmarkEnd w:id="11"/>
    <w:bookmarkStart w:id="13" w:name="consensus-snapshot"/>
    <w:p>
      <w:pPr>
        <w:pStyle w:val="Heading2"/>
      </w:pPr>
      <w:r>
        <w:t xml:space="preserve">Consensus snapshot</w:t>
      </w:r>
    </w:p>
    <w:p>
      <w:pPr>
        <w:pStyle w:val="FirstParagraph"/>
      </w:pPr>
      <w:r>
        <w:t xml:space="preserve">Current LSEG consensus published on IFF’s investor-relations site is approximately: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Range</w:t>
            </w:r>
          </w:p>
        </w:tc>
      </w:tr>
      <w:tr>
        <w:tc>
          <w:tcPr/>
          <w:p>
            <w:pPr>
              <w:pStyle w:val="Compact"/>
            </w:pPr>
            <w:r>
              <w:t xml:space="preserve">Sales</w:t>
            </w:r>
          </w:p>
        </w:tc>
        <w:tc>
          <w:tcPr/>
          <w:p>
            <w:pPr>
              <w:pStyle w:val="Compact"/>
              <w:jc w:val="right"/>
            </w:pPr>
            <w:r>
              <w:rPr>
                <w:b/>
                <w:bCs/>
              </w:rPr>
              <w:t xml:space="preserve">$2.692 billion</w:t>
            </w:r>
          </w:p>
        </w:tc>
        <w:tc>
          <w:tcPr/>
          <w:p>
            <w:pPr>
              <w:pStyle w:val="Compact"/>
              <w:jc w:val="right"/>
            </w:pPr>
            <m:oMath>
              <m:r>
                <m:t>2.660</m:t>
              </m:r>
              <m:r>
                <m:t>B</m:t>
              </m:r>
              <m:r>
                <m:rPr>
                  <m:sty m:val="p"/>
                </m:rPr>
                <m:t>–</m:t>
              </m:r>
            </m:oMath>
            <w:r>
              <w:t xml:space="preserve">2.772B</w:t>
            </w:r>
          </w:p>
        </w:tc>
      </w:tr>
      <w:tr>
        <w:tc>
          <w:tcPr/>
          <w:p>
            <w:pPr>
              <w:pStyle w:val="Compact"/>
            </w:pPr>
            <w:r>
              <w:t xml:space="preserve">Adjusted operating EBITDA</w:t>
            </w:r>
          </w:p>
        </w:tc>
        <w:tc>
          <w:tcPr/>
          <w:p>
            <w:pPr>
              <w:pStyle w:val="Compact"/>
              <w:jc w:val="right"/>
            </w:pPr>
            <w:r>
              <w:rPr>
                <w:b/>
                <w:bCs/>
              </w:rPr>
              <w:t xml:space="preserve">$530 million</w:t>
            </w:r>
          </w:p>
        </w:tc>
        <w:tc>
          <w:tcPr/>
          <w:p>
            <w:pPr>
              <w:pStyle w:val="Compact"/>
              <w:jc w:val="right"/>
            </w:pPr>
            <m:oMath>
              <m:r>
                <m:t>518</m:t>
              </m:r>
              <m:r>
                <m:t>M</m:t>
              </m:r>
              <m:r>
                <m:rPr>
                  <m:sty m:val="p"/>
                </m:rPr>
                <m:t>–</m:t>
              </m:r>
            </m:oMath>
            <w:r>
              <w:t xml:space="preserve">538M</w:t>
            </w:r>
          </w:p>
        </w:tc>
      </w:tr>
      <w:tr>
        <w:tc>
          <w:tcPr/>
          <w:p>
            <w:pPr>
              <w:pStyle w:val="Compact"/>
            </w:pPr>
            <w:r>
              <w:t xml:space="preserve">Adjusted EPS</w:t>
            </w:r>
          </w:p>
        </w:tc>
        <w:tc>
          <w:tcPr/>
          <w:p>
            <w:pPr>
              <w:pStyle w:val="Compact"/>
              <w:jc w:val="right"/>
            </w:pPr>
            <w:r>
              <w:rPr>
                <w:b/>
                <w:bCs/>
              </w:rPr>
              <w:t xml:space="preserve">$1.12</w:t>
            </w:r>
          </w:p>
        </w:tc>
        <w:tc>
          <w:tcPr/>
          <w:p>
            <w:pPr>
              <w:pStyle w:val="Compact"/>
              <w:jc w:val="right"/>
            </w:pPr>
            <m:oMath>
              <m:r>
                <m:t>1.05</m:t>
              </m:r>
              <m:r>
                <m:rPr>
                  <m:sty m:val="p"/>
                </m:rPr>
                <m:t>–</m:t>
              </m:r>
            </m:oMath>
            <w:r>
              <w:t xml:space="preserve">1.14</w:t>
            </w:r>
          </w:p>
        </w:tc>
      </w:tr>
      <w:tr>
        <w:tc>
          <w:tcPr/>
          <w:p>
            <w:pPr>
              <w:pStyle w:val="Compact"/>
            </w:pPr>
            <w:r>
              <w:t xml:space="preserve">Implied EBITDA margin</w:t>
            </w:r>
          </w:p>
        </w:tc>
        <w:tc>
          <w:tcPr/>
          <w:p>
            <w:pPr>
              <w:pStyle w:val="Compact"/>
              <w:jc w:val="right"/>
            </w:pPr>
            <w:r>
              <w:rPr>
                <w:b/>
                <w:bCs/>
              </w:rPr>
              <w:t xml:space="preserve">19.7%</w:t>
            </w:r>
          </w:p>
        </w:tc>
        <w:tc>
          <w:tcPr/>
          <w:p>
            <w:pPr>
              <w:pStyle w:val="Compact"/>
              <w:jc w:val="right"/>
            </w:pPr>
            <w:r>
              <w:t xml:space="preserve">—</w:t>
            </w:r>
          </w:p>
        </w:tc>
      </w:tr>
    </w:tbl>
    <w:p>
      <w:pPr>
        <w:pStyle w:val="BodyText"/>
      </w:pPr>
      <w:r>
        <w:t xml:space="preserve">For the full year, consensus stands at roughly</w:t>
      </w:r>
      <w:r>
        <w:t xml:space="preserve"> </w:t>
      </w:r>
      <w:r>
        <w:rPr>
          <w:b/>
          <w:bCs/>
        </w:rPr>
        <w:t xml:space="preserve">$10.74 billion of sales, $2.107 billion of adjusted operating EBITDA and $4.46 of adjusted EPS</w:t>
      </w:r>
      <w:r>
        <w:t xml:space="preserve">. That places EBITDA expectations almost exactly at the midpoint of IFF’s existing</w:t>
      </w:r>
      <w:r>
        <w:t xml:space="preserve"> </w:t>
      </w:r>
      <m:oMath>
        <m:r>
          <m:t>2.05</m:t>
        </m:r>
        <m:r>
          <m:t>b</m:t>
        </m:r>
        <m:r>
          <m:t>i</m:t>
        </m:r>
        <m:r>
          <m:t>l</m:t>
        </m:r>
        <m:r>
          <m:t>l</m:t>
        </m:r>
        <m:r>
          <m:t>i</m:t>
        </m:r>
        <m:r>
          <m:t>o</m:t>
        </m:r>
        <m:r>
          <m:t>n</m:t>
        </m:r>
        <m:r>
          <m:rPr>
            <m:sty m:val="p"/>
          </m:rPr>
          <m:t>–</m:t>
        </m:r>
      </m:oMath>
      <w:r>
        <w:t xml:space="preserve">2.15 billion guidance. (</w:t>
      </w:r>
      <w:hyperlink r:id="rId12">
        <w:r>
          <w:rPr>
            <w:rStyle w:val="Hyperlink"/>
          </w:rPr>
          <w:t xml:space="preserve">ir.iff.com</w:t>
        </w:r>
      </w:hyperlink>
      <w:r>
        <w:t xml:space="preserve">)</w:t>
      </w:r>
    </w:p>
    <w:p>
      <w:pPr>
        <w:pStyle w:val="BodyText"/>
      </w:pPr>
      <w:r>
        <w:t xml:space="preserve">Reported year-over-year sales comparisons will remain distorted by divestitures. Investors should prioritize</w:t>
      </w:r>
      <w:r>
        <w:t xml:space="preserve"> </w:t>
      </w:r>
      <w:r>
        <w:rPr>
          <w:b/>
          <w:bCs/>
        </w:rPr>
        <w:t xml:space="preserve">comparable currency-neutral growth</w:t>
      </w:r>
      <w:r>
        <w:t xml:space="preserve">, segment margins and the underlying volume/price mix rather than the headline reported revenue change.</w:t>
      </w:r>
    </w:p>
    <w:bookmarkEnd w:id="13"/>
    <w:bookmarkStart w:id="18" w:name="what-matters-most"/>
    <w:p>
      <w:pPr>
        <w:pStyle w:val="Heading2"/>
      </w:pPr>
      <w:r>
        <w:t xml:space="preserve">What matters most</w:t>
      </w:r>
    </w:p>
    <w:bookmarkStart w:id="14" w:name="X6f4eb4439e54c7a3478907c5cadca35301a1059"/>
    <w:p>
      <w:pPr>
        <w:pStyle w:val="Heading3"/>
      </w:pPr>
      <w:r>
        <w:t xml:space="preserve">1. The EBITDA bridge—and whether Q2 represents the trough</w:t>
      </w:r>
    </w:p>
    <w:p>
      <w:pPr>
        <w:pStyle w:val="FirstParagraph"/>
      </w:pPr>
      <w:r>
        <w:t xml:space="preserve">Consensus calls for EBITDA to decline from $568 million in Q1 to about $530 million in Q2, consistent with management’s warning. That by itself should not be alarming.</w:t>
      </w:r>
    </w:p>
    <w:p>
      <w:pPr>
        <w:pStyle w:val="BodyText"/>
      </w:pPr>
      <w:r>
        <w:t xml:space="preserve">The important issue is the explanation:</w:t>
      </w:r>
    </w:p>
    <w:p>
      <w:pPr>
        <w:pStyle w:val="Compact"/>
        <w:numPr>
          <w:ilvl w:val="0"/>
          <w:numId w:val="1002"/>
        </w:numPr>
      </w:pPr>
      <w:r>
        <w:t xml:space="preserve">How much pressure came from energy, freight and logistics?</w:t>
      </w:r>
    </w:p>
    <w:p>
      <w:pPr>
        <w:pStyle w:val="Compact"/>
        <w:numPr>
          <w:ilvl w:val="0"/>
          <w:numId w:val="1002"/>
        </w:numPr>
      </w:pPr>
      <w:r>
        <w:t xml:space="preserve">How much reflected Fine Fragrance volume and mix?</w:t>
      </w:r>
    </w:p>
    <w:p>
      <w:pPr>
        <w:pStyle w:val="Compact"/>
        <w:numPr>
          <w:ilvl w:val="0"/>
          <w:numId w:val="1002"/>
        </w:numPr>
      </w:pPr>
      <w:r>
        <w:t xml:space="preserve">Were pricing surcharges implemented on schedule?</w:t>
      </w:r>
    </w:p>
    <w:p>
      <w:pPr>
        <w:pStyle w:val="Compact"/>
        <w:numPr>
          <w:ilvl w:val="0"/>
          <w:numId w:val="1002"/>
        </w:numPr>
      </w:pPr>
      <w:r>
        <w:t xml:space="preserve">Did productivity savings remain strong?</w:t>
      </w:r>
    </w:p>
    <w:p>
      <w:pPr>
        <w:pStyle w:val="Compact"/>
        <w:numPr>
          <w:ilvl w:val="0"/>
          <w:numId w:val="1002"/>
        </w:numPr>
      </w:pPr>
      <w:r>
        <w:t xml:space="preserve">Is management still confident that price-cost improves sequentially in the second half?</w:t>
      </w:r>
    </w:p>
    <w:p>
      <w:pPr>
        <w:pStyle w:val="FirstParagraph"/>
      </w:pPr>
      <w:r>
        <w:t xml:space="preserve">A result around consensus with credible evidence that Q2 was the margin trough would be constructive. Conversely, a miss caused by persistent price-cost pressure—not merely timing—would raise doubts about the full-year EBITDA range.</w:t>
      </w:r>
    </w:p>
    <w:bookmarkEnd w:id="14"/>
    <w:bookmarkStart w:id="15" w:name="Xcd277002b29bed4d9b07cbe9078b519b854719c"/>
    <w:p>
      <w:pPr>
        <w:pStyle w:val="Heading3"/>
      </w:pPr>
      <w:r>
        <w:t xml:space="preserve">2. Scent is the swing factor</w:t>
      </w:r>
    </w:p>
    <w:p>
      <w:pPr>
        <w:pStyle w:val="FirstParagraph"/>
      </w:pPr>
      <w:r>
        <w:t xml:space="preserve">Scent was already IFF’s weakest segment in Q1. Comparable currency-neutral sales rose only 1%, while adjusted operating EBITDA declined 2% as unfavorable price-to-input costs offset volume growth and productivity.</w:t>
      </w:r>
    </w:p>
    <w:p>
      <w:pPr>
        <w:pStyle w:val="BodyText"/>
      </w:pPr>
      <w:r>
        <w:t xml:space="preserve">There are two separate issues to monitor:</w:t>
      </w:r>
    </w:p>
    <w:p>
      <w:pPr>
        <w:pStyle w:val="Compact"/>
        <w:numPr>
          <w:ilvl w:val="0"/>
          <w:numId w:val="1003"/>
        </w:numPr>
      </w:pPr>
      <w:r>
        <w:rPr>
          <w:b/>
          <w:bCs/>
        </w:rPr>
        <w:t xml:space="preserve">Fine Fragrance:</w:t>
      </w:r>
      <w:r>
        <w:t xml:space="preserve"> </w:t>
      </w:r>
      <w:r>
        <w:t xml:space="preserve">Management expected temporary Middle East demand and supply-chain disruption in Q2.</w:t>
      </w:r>
    </w:p>
    <w:p>
      <w:pPr>
        <w:pStyle w:val="Compact"/>
        <w:numPr>
          <w:ilvl w:val="0"/>
          <w:numId w:val="1003"/>
        </w:numPr>
      </w:pPr>
      <w:r>
        <w:rPr>
          <w:b/>
          <w:bCs/>
        </w:rPr>
        <w:t xml:space="preserve">Fragrance Ingredients:</w:t>
      </w:r>
      <w:r>
        <w:t xml:space="preserve"> </w:t>
      </w:r>
      <w:r>
        <w:t xml:space="preserve">Commodity ingredients continue to face pricing pressure from Chinese and Indian producers.</w:t>
      </w:r>
    </w:p>
    <w:p>
      <w:pPr>
        <w:pStyle w:val="FirstParagraph"/>
      </w:pPr>
      <w:r>
        <w:t xml:space="preserve">Investors should distinguish a temporary regional disruption from a broader deterioration in fragrance demand. Evidence that Fine Fragrance orders and customer supply chains are normalizing would support the expected second-half recovery. Continued weakness outside the Middle East would be more concerning.</w:t>
      </w:r>
    </w:p>
    <w:p>
      <w:pPr>
        <w:pStyle w:val="BodyText"/>
      </w:pPr>
      <w:r>
        <w:t xml:space="preserve">The commodity portion of Fragrance Ingredients is a longer-term structural issue. Management has said it will deemphasize external commodity sales while investing in specialty, natural, synthetic and biotech molecules. Q2 should provide an update on whether this repositioning is reducing the segment’s earnings drag.</w:t>
      </w:r>
    </w:p>
    <w:bookmarkEnd w:id="15"/>
    <w:bookmarkStart w:id="16" w:name="X7cb763d4954b6d87b05006905391d3ebea627ed"/>
    <w:p>
      <w:pPr>
        <w:pStyle w:val="Heading3"/>
      </w:pPr>
      <w:r>
        <w:t xml:space="preserve">3. Pricing versus inflation</w:t>
      </w:r>
    </w:p>
    <w:p>
      <w:pPr>
        <w:pStyle w:val="FirstParagraph"/>
      </w:pPr>
      <w:r>
        <w:t xml:space="preserve">IFF’s pricing cycle typically lags cost inflation. Management entered Q2 implementing surcharges for logistics and energy, with broader raw-material pricing expected to build later.</w:t>
      </w:r>
    </w:p>
    <w:p>
      <w:pPr>
        <w:pStyle w:val="BodyText"/>
      </w:pPr>
      <w:r>
        <w:t xml:space="preserve">Watch for three disclosures:</w:t>
      </w:r>
    </w:p>
    <w:p>
      <w:pPr>
        <w:pStyle w:val="Compact"/>
        <w:numPr>
          <w:ilvl w:val="0"/>
          <w:numId w:val="1004"/>
        </w:numPr>
      </w:pPr>
      <w:r>
        <w:t xml:space="preserve">The amount of pricing realized in Q2</w:t>
      </w:r>
    </w:p>
    <w:p>
      <w:pPr>
        <w:pStyle w:val="Compact"/>
        <w:numPr>
          <w:ilvl w:val="0"/>
          <w:numId w:val="1004"/>
        </w:numPr>
      </w:pPr>
      <w:r>
        <w:t xml:space="preserve">The current rate of input-cost inflation</w:t>
      </w:r>
    </w:p>
    <w:p>
      <w:pPr>
        <w:pStyle w:val="Compact"/>
        <w:numPr>
          <w:ilvl w:val="0"/>
          <w:numId w:val="1004"/>
        </w:numPr>
      </w:pPr>
      <w:r>
        <w:t xml:space="preserve">When management expects price-cost to turn neutral or positive</w:t>
      </w:r>
    </w:p>
    <w:p>
      <w:pPr>
        <w:pStyle w:val="FirstParagraph"/>
      </w:pPr>
      <w:r>
        <w:t xml:space="preserve">A modestly negative Q2 price-cost relationship is already embedded in expectations. The risk is that customer negotiations take longer than anticipated or that raw-material inflation accelerates before surcharges take effect.</w:t>
      </w:r>
    </w:p>
    <w:p>
      <w:pPr>
        <w:pStyle w:val="BodyText"/>
      </w:pPr>
      <w:r>
        <w:t xml:space="preserve">The best outcome would be management confirming that logistics and energy surcharges are largely in place and that the second-half earnings bridge remains intact.</w:t>
      </w:r>
    </w:p>
    <w:bookmarkEnd w:id="16"/>
    <w:bookmarkStart w:id="17" w:name="Xa21a1d97c7af8a7dd900c808272f9be2d202442"/>
    <w:p>
      <w:pPr>
        <w:pStyle w:val="Heading3"/>
      </w:pPr>
      <w:r>
        <w:t xml:space="preserve">4. Volume quality across the portfolio</w:t>
      </w:r>
    </w:p>
    <w:p>
      <w:pPr>
        <w:pStyle w:val="FirstParagraph"/>
      </w:pPr>
      <w:r>
        <w:t xml:space="preserve">Q1 growth was broad-based and volume-led:</w:t>
      </w:r>
    </w:p>
    <w:p>
      <w:pPr>
        <w:pStyle w:val="Compact"/>
        <w:numPr>
          <w:ilvl w:val="0"/>
          <w:numId w:val="1005"/>
        </w:numPr>
      </w:pPr>
      <w:r>
        <w:rPr>
          <w:b/>
          <w:bCs/>
        </w:rPr>
        <w:t xml:space="preserve">Taste:</w:t>
      </w:r>
      <w:r>
        <w:t xml:space="preserve"> </w:t>
      </w:r>
      <w:r>
        <w:t xml:space="preserve">2% comparable currency-neutral sales growth</w:t>
      </w:r>
    </w:p>
    <w:p>
      <w:pPr>
        <w:pStyle w:val="Compact"/>
        <w:numPr>
          <w:ilvl w:val="0"/>
          <w:numId w:val="1005"/>
        </w:numPr>
      </w:pPr>
      <w:r>
        <w:rPr>
          <w:b/>
          <w:bCs/>
        </w:rPr>
        <w:t xml:space="preserve">Health &amp; Biosciences:</w:t>
      </w:r>
      <w:r>
        <w:t xml:space="preserve"> </w:t>
      </w:r>
      <w:r>
        <w:t xml:space="preserve">5%</w:t>
      </w:r>
    </w:p>
    <w:p>
      <w:pPr>
        <w:pStyle w:val="Compact"/>
        <w:numPr>
          <w:ilvl w:val="0"/>
          <w:numId w:val="1005"/>
        </w:numPr>
      </w:pPr>
      <w:r>
        <w:rPr>
          <w:b/>
          <w:bCs/>
        </w:rPr>
        <w:t xml:space="preserve">Food Ingredients:</w:t>
      </w:r>
      <w:r>
        <w:t xml:space="preserve"> </w:t>
      </w:r>
      <w:r>
        <w:t xml:space="preserve">3%</w:t>
      </w:r>
    </w:p>
    <w:p>
      <w:pPr>
        <w:pStyle w:val="Compact"/>
        <w:numPr>
          <w:ilvl w:val="0"/>
          <w:numId w:val="1005"/>
        </w:numPr>
      </w:pPr>
      <w:r>
        <w:rPr>
          <w:b/>
          <w:bCs/>
        </w:rPr>
        <w:t xml:space="preserve">Scent:</w:t>
      </w:r>
      <w:r>
        <w:t xml:space="preserve"> </w:t>
      </w:r>
      <w:r>
        <w:t xml:space="preserve">1%</w:t>
      </w:r>
    </w:p>
    <w:p>
      <w:pPr>
        <w:pStyle w:val="FirstParagraph"/>
      </w:pPr>
      <w:r>
        <w:t xml:space="preserve">Management said it had not seen evidence of meaningful customer prebuying. Q2 will test that assertion.</w:t>
      </w:r>
    </w:p>
    <w:p>
      <w:pPr>
        <w:pStyle w:val="BodyText"/>
      </w:pPr>
      <w:r>
        <w:t xml:space="preserve">Particular areas to watch:</w:t>
      </w:r>
    </w:p>
    <w:p>
      <w:pPr>
        <w:pStyle w:val="Compact"/>
        <w:numPr>
          <w:ilvl w:val="0"/>
          <w:numId w:val="1006"/>
        </w:numPr>
      </w:pPr>
      <w:r>
        <w:rPr>
          <w:b/>
          <w:bCs/>
        </w:rPr>
        <w:t xml:space="preserve">Taste:</w:t>
      </w:r>
      <w:r>
        <w:t xml:space="preserve"> </w:t>
      </w:r>
      <w:r>
        <w:t xml:space="preserve">Whether it can sustain above-market growth after an unusually strong 23.3% Q1 EBITDA margin.</w:t>
      </w:r>
    </w:p>
    <w:p>
      <w:pPr>
        <w:pStyle w:val="Compact"/>
        <w:numPr>
          <w:ilvl w:val="0"/>
          <w:numId w:val="1006"/>
        </w:numPr>
      </w:pPr>
      <w:r>
        <w:rPr>
          <w:b/>
          <w:bCs/>
        </w:rPr>
        <w:t xml:space="preserve">Health &amp; Biosciences:</w:t>
      </w:r>
      <w:r>
        <w:t xml:space="preserve"> </w:t>
      </w:r>
      <w:r>
        <w:t xml:space="preserve">Continued strength in Animal Nutrition and Food Biosciences, plus signs that the North American Health business is beginning its anticipated second-half recovery.</w:t>
      </w:r>
    </w:p>
    <w:p>
      <w:pPr>
        <w:pStyle w:val="Compact"/>
        <w:numPr>
          <w:ilvl w:val="0"/>
          <w:numId w:val="1006"/>
        </w:numPr>
      </w:pPr>
      <w:r>
        <w:rPr>
          <w:b/>
          <w:bCs/>
        </w:rPr>
        <w:t xml:space="preserve">Consumer Fragrance:</w:t>
      </w:r>
      <w:r>
        <w:t xml:space="preserve"> </w:t>
      </w:r>
      <w:r>
        <w:t xml:space="preserve">Evidence that commercial wins are converting into revenue.</w:t>
      </w:r>
    </w:p>
    <w:p>
      <w:pPr>
        <w:pStyle w:val="Compact"/>
        <w:numPr>
          <w:ilvl w:val="0"/>
          <w:numId w:val="1006"/>
        </w:numPr>
      </w:pPr>
      <w:r>
        <w:rPr>
          <w:b/>
          <w:bCs/>
        </w:rPr>
        <w:t xml:space="preserve">Food Ingredients:</w:t>
      </w:r>
      <w:r>
        <w:t xml:space="preserve"> </w:t>
      </w:r>
      <w:r>
        <w:t xml:space="preserve">Continued operating strength while the business prepares for separation.</w:t>
      </w:r>
    </w:p>
    <w:p>
      <w:pPr>
        <w:pStyle w:val="FirstParagraph"/>
      </w:pPr>
      <w:r>
        <w:t xml:space="preserve">A small sales beat driven by volume would be more valuable than a larger beat dependent on currency or short-lived pricing.</w:t>
      </w:r>
    </w:p>
    <w:bookmarkEnd w:id="17"/>
    <w:bookmarkEnd w:id="18"/>
    <w:bookmarkStart w:id="21" w:name="X6afe8900a3917f88dcafdba78a4a7a1b2cebade"/>
    <w:p>
      <w:pPr>
        <w:pStyle w:val="Heading2"/>
      </w:pPr>
      <w:r>
        <w:t xml:space="preserve">Portfolio transformation takes center stage</w:t>
      </w:r>
    </w:p>
    <w:p>
      <w:pPr>
        <w:pStyle w:val="FirstParagraph"/>
      </w:pPr>
      <w:r>
        <w:t xml:space="preserve">IFF agreed in late May to sell Food Ingredients to CVC in a transaction valuing the business at approximately</w:t>
      </w:r>
      <w:r>
        <w:t xml:space="preserve"> </w:t>
      </w:r>
      <m:oMath>
        <m:r>
          <m:t>4.3</m:t>
        </m:r>
        <m:r>
          <m:t>b</m:t>
        </m:r>
        <m:r>
          <m:t>i</m:t>
        </m:r>
        <m:r>
          <m:t>l</m:t>
        </m:r>
        <m:r>
          <m:t>l</m:t>
        </m:r>
        <m:r>
          <m:t>i</m:t>
        </m:r>
        <m:r>
          <m:t>o</m:t>
        </m:r>
        <m:r>
          <m:t>n</m:t>
        </m:r>
        <m:r>
          <m:rPr>
            <m:sty m:val="p"/>
          </m:rPr>
          <m:t>*</m:t>
        </m:r>
        <m:r>
          <m:rPr>
            <m:sty m:val="p"/>
          </m:rPr>
          <m:t>*</m:t>
        </m:r>
        <m:r>
          <m:rPr>
            <m:sty m:val="p"/>
          </m:rPr>
          <m:t>.</m:t>
        </m:r>
        <m:r>
          <m:t>I</m:t>
        </m:r>
        <m:r>
          <m:t>F</m:t>
        </m:r>
        <m:r>
          <m:t>F</m:t>
        </m:r>
        <m:r>
          <m:t>e</m:t>
        </m:r>
        <m:r>
          <m:t>x</m:t>
        </m:r>
        <m:r>
          <m:t>p</m:t>
        </m:r>
        <m:r>
          <m:t>e</m:t>
        </m:r>
        <m:r>
          <m:t>c</m:t>
        </m:r>
        <m:r>
          <m:t>t</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3.8 billion of net cash proceeds</w:t>
      </w:r>
      <w:r>
        <w:t xml:space="preserve"> </w:t>
      </w:r>
      <w:r>
        <w:t xml:space="preserve">and a minority interest currently valued at about $200 million, representing roughly 9.9% of the future company. The transaction is expected to close by the end of Q2 2027, subject to regulatory approvals and other conditions. (</w:t>
      </w:r>
      <w:hyperlink r:id="rId19">
        <w:r>
          <w:rPr>
            <w:rStyle w:val="Hyperlink"/>
          </w:rPr>
          <w:t xml:space="preserve">ir.iff.com</w:t>
        </w:r>
      </w:hyperlink>
      <w:r>
        <w:t xml:space="preserve">)</w:t>
      </w:r>
    </w:p>
    <w:p>
      <w:pPr>
        <w:pStyle w:val="BodyText"/>
      </w:pPr>
      <w:r>
        <w:t xml:space="preserve">This is now central to the investment case. The report and call should address:</w:t>
      </w:r>
    </w:p>
    <w:p>
      <w:pPr>
        <w:pStyle w:val="Compact"/>
        <w:numPr>
          <w:ilvl w:val="0"/>
          <w:numId w:val="1007"/>
        </w:numPr>
      </w:pPr>
      <w:r>
        <w:t xml:space="preserve">Regulatory and separation progress</w:t>
      </w:r>
    </w:p>
    <w:p>
      <w:pPr>
        <w:pStyle w:val="Compact"/>
        <w:numPr>
          <w:ilvl w:val="0"/>
          <w:numId w:val="1007"/>
        </w:numPr>
      </w:pPr>
      <w:r>
        <w:t xml:space="preserve">Expected stranded costs</w:t>
      </w:r>
    </w:p>
    <w:p>
      <w:pPr>
        <w:pStyle w:val="Compact"/>
        <w:numPr>
          <w:ilvl w:val="0"/>
          <w:numId w:val="1007"/>
        </w:numPr>
      </w:pPr>
      <w:r>
        <w:t xml:space="preserve">Transition-service arrangements</w:t>
      </w:r>
    </w:p>
    <w:p>
      <w:pPr>
        <w:pStyle w:val="Compact"/>
        <w:numPr>
          <w:ilvl w:val="0"/>
          <w:numId w:val="1007"/>
        </w:numPr>
      </w:pPr>
      <w:r>
        <w:t xml:space="preserve">The timing and cost of separating the business</w:t>
      </w:r>
    </w:p>
    <w:p>
      <w:pPr>
        <w:pStyle w:val="Compact"/>
        <w:numPr>
          <w:ilvl w:val="0"/>
          <w:numId w:val="1007"/>
        </w:numPr>
      </w:pPr>
      <w:r>
        <w:t xml:space="preserve">Pro forma leverage after using the proceeds</w:t>
      </w:r>
    </w:p>
    <w:p>
      <w:pPr>
        <w:pStyle w:val="Compact"/>
        <w:numPr>
          <w:ilvl w:val="0"/>
          <w:numId w:val="1007"/>
        </w:numPr>
      </w:pPr>
      <w:r>
        <w:t xml:space="preserve">Potential repurchases to offset earnings dilution</w:t>
      </w:r>
    </w:p>
    <w:p>
      <w:pPr>
        <w:pStyle w:val="Compact"/>
        <w:numPr>
          <w:ilvl w:val="0"/>
          <w:numId w:val="1007"/>
        </w:numPr>
      </w:pPr>
      <w:r>
        <w:t xml:space="preserve">The long-term growth and margin profile of the remaining Taste, Scent and Health &amp; Biosciences businesses</w:t>
      </w:r>
    </w:p>
    <w:p>
      <w:pPr>
        <w:pStyle w:val="FirstParagraph"/>
      </w:pPr>
      <w:r>
        <w:t xml:space="preserve">The sale simplifies IFF into three more innovation-oriented businesses and should significantly reduce leverage. But investors still need enough detail to judge the earnings dilution and how quickly stranded costs can be removed.</w:t>
      </w:r>
    </w:p>
    <w:p>
      <w:pPr>
        <w:pStyle w:val="BodyText"/>
      </w:pPr>
      <w:r>
        <w:t xml:space="preserve">IFF also announced in July that it would sell a portfolio of botanical extracts, vitamins, minerals and food-enhancement activities generating approximately</w:t>
      </w:r>
      <w:r>
        <w:t xml:space="preserve"> </w:t>
      </w:r>
      <w:r>
        <w:rPr>
          <w:b/>
          <w:bCs/>
        </w:rPr>
        <w:t xml:space="preserve">$170 million of 2025 revenue</w:t>
      </w:r>
      <w:r>
        <w:t xml:space="preserve">. Financial terms were not disclosed, and closing is expected by year-end 2026. This reinforces the portfolio-simplification strategy but may require another adjustment to guidance or the comparable revenue base. (</w:t>
      </w:r>
      <w:hyperlink r:id="rId20">
        <w:r>
          <w:rPr>
            <w:rStyle w:val="Hyperlink"/>
          </w:rPr>
          <w:t xml:space="preserve">ir.iff.com</w:t>
        </w:r>
      </w:hyperlink>
      <w:r>
        <w:t xml:space="preserve">)</w:t>
      </w:r>
    </w:p>
    <w:bookmarkEnd w:id="21"/>
    <w:bookmarkStart w:id="22" w:name="cash-flow-and-balance-sheet"/>
    <w:p>
      <w:pPr>
        <w:pStyle w:val="Heading2"/>
      </w:pPr>
      <w:r>
        <w:t xml:space="preserve">Cash flow and balance sheet</w:t>
      </w:r>
    </w:p>
    <w:p>
      <w:pPr>
        <w:pStyle w:val="FirstParagraph"/>
      </w:pPr>
      <w:r>
        <w:t xml:space="preserve">Cash flow remains one of the most important markers of execution.</w:t>
      </w:r>
    </w:p>
    <w:p>
      <w:pPr>
        <w:pStyle w:val="BodyText"/>
      </w:pPr>
      <w:r>
        <w:t xml:space="preserve">Q1 free cash flow reached $92 million, versus negative $52 million a year earlier, while net debt to credit-adjusted EBITDA finished at approximately 2.5x. Management expects a meaningful full-year cash-flow improvement, driven by:</w:t>
      </w:r>
    </w:p>
    <w:p>
      <w:pPr>
        <w:pStyle w:val="Compact"/>
        <w:numPr>
          <w:ilvl w:val="0"/>
          <w:numId w:val="1008"/>
        </w:numPr>
      </w:pPr>
      <w:r>
        <w:t xml:space="preserve">Higher profitability</w:t>
      </w:r>
    </w:p>
    <w:p>
      <w:pPr>
        <w:pStyle w:val="Compact"/>
        <w:numPr>
          <w:ilvl w:val="0"/>
          <w:numId w:val="1008"/>
        </w:numPr>
      </w:pPr>
      <w:r>
        <w:t xml:space="preserve">Better working-capital management</w:t>
      </w:r>
    </w:p>
    <w:p>
      <w:pPr>
        <w:pStyle w:val="Compact"/>
        <w:numPr>
          <w:ilvl w:val="0"/>
          <w:numId w:val="1008"/>
        </w:numPr>
      </w:pPr>
      <w:r>
        <w:t xml:space="preserve">Lower interest expense</w:t>
      </w:r>
    </w:p>
    <w:p>
      <w:pPr>
        <w:pStyle w:val="Compact"/>
        <w:numPr>
          <w:ilvl w:val="0"/>
          <w:numId w:val="1008"/>
        </w:numPr>
      </w:pPr>
      <w:r>
        <w:t xml:space="preserve">Lower incentive-compensation payments</w:t>
      </w:r>
    </w:p>
    <w:p>
      <w:pPr>
        <w:pStyle w:val="FirstParagraph"/>
      </w:pPr>
      <w:r>
        <w:t xml:space="preserve">The company has not provided a firm full-year free-cash-flow target because of portfolio uncertainty. Investors should look for greater specificity now that the Food Ingredients transaction has been signed.</w:t>
      </w:r>
    </w:p>
    <w:p>
      <w:pPr>
        <w:pStyle w:val="BodyText"/>
      </w:pPr>
      <w:r>
        <w:t xml:space="preserve">Also relevant is IFF’s $1 billion delayed-draw term loan arranged in June to refinance €800 million of notes due in September 2026. The facility is expected to be repaid from the Food Ingredients sale proceeds if drawn. This addresses the near-term maturity, but management should explain the likely interim interest-cost impact.</w:t>
      </w:r>
    </w:p>
    <w:bookmarkEnd w:id="22"/>
    <w:bookmarkStart w:id="23" w:name="X3bd39f55bf45b5b3ea2275724f59abcb445f3e2"/>
    <w:p>
      <w:pPr>
        <w:pStyle w:val="Heading2"/>
      </w:pPr>
      <w:r>
        <w:t xml:space="preserve">Guidance: the key determinant of the reaction</w:t>
      </w:r>
    </w:p>
    <w:p>
      <w:pPr>
        <w:pStyle w:val="FirstParagraph"/>
      </w:pPr>
      <w:r>
        <w:t xml:space="preserve">Current full-year guidance is:</w:t>
      </w:r>
    </w:p>
    <w:p>
      <w:pPr>
        <w:pStyle w:val="Compact"/>
        <w:numPr>
          <w:ilvl w:val="0"/>
          <w:numId w:val="1009"/>
        </w:numPr>
      </w:pPr>
      <w:r>
        <w:rPr>
          <w:b/>
          <w:bCs/>
        </w:rPr>
        <w:t xml:space="preserve">Sales:</w:t>
      </w:r>
      <w:r>
        <w:t xml:space="preserve"> </w:t>
      </w:r>
      <m:oMath>
        <m:r>
          <m:t>10.5</m:t>
        </m:r>
        <m:r>
          <m:t>b</m:t>
        </m:r>
        <m:r>
          <m:t>i</m:t>
        </m:r>
        <m:r>
          <m:t>l</m:t>
        </m:r>
        <m:r>
          <m:t>l</m:t>
        </m:r>
        <m:r>
          <m:t>i</m:t>
        </m:r>
        <m:r>
          <m:t>o</m:t>
        </m:r>
        <m:r>
          <m:t>n</m:t>
        </m:r>
        <m:r>
          <m:rPr>
            <m:sty m:val="p"/>
          </m:rPr>
          <m:t>–</m:t>
        </m:r>
      </m:oMath>
      <w:r>
        <w:t xml:space="preserve">10.8 billion</w:t>
      </w:r>
    </w:p>
    <w:p>
      <w:pPr>
        <w:pStyle w:val="Compact"/>
        <w:numPr>
          <w:ilvl w:val="0"/>
          <w:numId w:val="1009"/>
        </w:numPr>
      </w:pPr>
      <w:r>
        <w:rPr>
          <w:b/>
          <w:bCs/>
        </w:rPr>
        <w:t xml:space="preserve">Comparable currency-neutral sales growth:</w:t>
      </w:r>
      <w:r>
        <w:t xml:space="preserve"> </w:t>
      </w:r>
      <w:r>
        <w:t xml:space="preserve">1%–4%</w:t>
      </w:r>
    </w:p>
    <w:p>
      <w:pPr>
        <w:pStyle w:val="Compact"/>
        <w:numPr>
          <w:ilvl w:val="0"/>
          <w:numId w:val="1009"/>
        </w:numPr>
      </w:pPr>
      <w:r>
        <w:rPr>
          <w:b/>
          <w:bCs/>
        </w:rPr>
        <w:t xml:space="preserve">Adjusted operating EBITDA:</w:t>
      </w:r>
      <w:r>
        <w:t xml:space="preserve"> </w:t>
      </w:r>
      <m:oMath>
        <m:r>
          <m:t>2.05</m:t>
        </m:r>
        <m:r>
          <m:t>b</m:t>
        </m:r>
        <m:r>
          <m:t>i</m:t>
        </m:r>
        <m:r>
          <m:t>l</m:t>
        </m:r>
        <m:r>
          <m:t>l</m:t>
        </m:r>
        <m:r>
          <m:t>i</m:t>
        </m:r>
        <m:r>
          <m:t>o</m:t>
        </m:r>
        <m:r>
          <m:t>n</m:t>
        </m:r>
        <m:r>
          <m:rPr>
            <m:sty m:val="p"/>
          </m:rPr>
          <m:t>–</m:t>
        </m:r>
      </m:oMath>
      <w:r>
        <w:t xml:space="preserve">2.15 billion</w:t>
      </w:r>
    </w:p>
    <w:p>
      <w:pPr>
        <w:pStyle w:val="Compact"/>
        <w:numPr>
          <w:ilvl w:val="0"/>
          <w:numId w:val="1009"/>
        </w:numPr>
      </w:pPr>
      <w:r>
        <w:rPr>
          <w:b/>
          <w:bCs/>
        </w:rPr>
        <w:t xml:space="preserve">Comparable currency-neutral EBITDA growth:</w:t>
      </w:r>
      <w:r>
        <w:t xml:space="preserve"> </w:t>
      </w:r>
      <w:r>
        <w:t xml:space="preserve">3%–8%</w:t>
      </w:r>
    </w:p>
    <w:p>
      <w:pPr>
        <w:pStyle w:val="FirstParagraph"/>
      </w:pPr>
      <w:r>
        <w:t xml:space="preserve">Consensus EBITDA of approximately $2.107 billion is essentially at the midpoint, meaning expectations do not require a guidance increase. The market is more likely to focus on whether management:</w:t>
      </w:r>
    </w:p>
    <w:p>
      <w:pPr>
        <w:pStyle w:val="Compact"/>
        <w:numPr>
          <w:ilvl w:val="0"/>
          <w:numId w:val="1010"/>
        </w:numPr>
      </w:pPr>
      <w:r>
        <w:t xml:space="preserve">Reaffirms the full range with confidence;</w:t>
      </w:r>
    </w:p>
    <w:p>
      <w:pPr>
        <w:pStyle w:val="Compact"/>
        <w:numPr>
          <w:ilvl w:val="0"/>
          <w:numId w:val="1010"/>
        </w:numPr>
      </w:pPr>
      <w:r>
        <w:t xml:space="preserve">Narrows toward the midpoint or upper half; or</w:t>
      </w:r>
    </w:p>
    <w:p>
      <w:pPr>
        <w:pStyle w:val="Compact"/>
        <w:numPr>
          <w:ilvl w:val="0"/>
          <w:numId w:val="1010"/>
        </w:numPr>
      </w:pPr>
      <w:r>
        <w:t xml:space="preserve">Retains the range but introduces additional caution around inflation and Scent.</w:t>
      </w:r>
    </w:p>
    <w:p>
      <w:pPr>
        <w:pStyle w:val="FirstParagraph"/>
      </w:pPr>
      <w:r>
        <w:t xml:space="preserve">A simple reaffirmation accompanied by improving second-half price-cost commentary would probably be sufficient. A reduction in the EBITDA midpoint after the strong Q1 beat would imply that Q2 pressures were greater or more persistent than management originally expected.</w:t>
      </w:r>
    </w:p>
    <w:bookmarkEnd w:id="23"/>
    <w:bookmarkStart w:id="27" w:name="potential-reaction-framework"/>
    <w:p>
      <w:pPr>
        <w:pStyle w:val="Heading2"/>
      </w:pPr>
      <w:r>
        <w:t xml:space="preserve">Potential reaction framework</w:t>
      </w:r>
    </w:p>
    <w:bookmarkStart w:id="24" w:name="bull-case"/>
    <w:p>
      <w:pPr>
        <w:pStyle w:val="Heading3"/>
      </w:pPr>
      <w:r>
        <w:t xml:space="preserve">Bull case</w:t>
      </w:r>
    </w:p>
    <w:p>
      <w:pPr>
        <w:pStyle w:val="Compact"/>
        <w:numPr>
          <w:ilvl w:val="0"/>
          <w:numId w:val="1011"/>
        </w:numPr>
      </w:pPr>
      <w:r>
        <w:t xml:space="preserve">EBITDA at or above the top of the consensus range—roughly</w:t>
      </w:r>
      <w:r>
        <w:t xml:space="preserve"> </w:t>
      </w:r>
      <w:r>
        <w:rPr>
          <w:b/>
          <w:bCs/>
        </w:rPr>
        <w:t xml:space="preserve">$538 million</w:t>
      </w:r>
    </w:p>
    <w:p>
      <w:pPr>
        <w:pStyle w:val="Compact"/>
        <w:numPr>
          <w:ilvl w:val="0"/>
          <w:numId w:val="1011"/>
        </w:numPr>
      </w:pPr>
      <w:r>
        <w:t xml:space="preserve">Margin near or above 20%</w:t>
      </w:r>
    </w:p>
    <w:p>
      <w:pPr>
        <w:pStyle w:val="Compact"/>
        <w:numPr>
          <w:ilvl w:val="0"/>
          <w:numId w:val="1011"/>
        </w:numPr>
      </w:pPr>
      <w:r>
        <w:t xml:space="preserve">Scent weakness largely confined to the previously identified issues</w:t>
      </w:r>
    </w:p>
    <w:p>
      <w:pPr>
        <w:pStyle w:val="Compact"/>
        <w:numPr>
          <w:ilvl w:val="0"/>
          <w:numId w:val="1011"/>
        </w:numPr>
      </w:pPr>
      <w:r>
        <w:t xml:space="preserve">Pricing implementation on track</w:t>
      </w:r>
    </w:p>
    <w:p>
      <w:pPr>
        <w:pStyle w:val="Compact"/>
        <w:numPr>
          <w:ilvl w:val="0"/>
          <w:numId w:val="1011"/>
        </w:numPr>
      </w:pPr>
      <w:r>
        <w:t xml:space="preserve">Full-year EBITDA guidance reaffirmed or narrowed upward</w:t>
      </w:r>
    </w:p>
    <w:p>
      <w:pPr>
        <w:pStyle w:val="Compact"/>
        <w:numPr>
          <w:ilvl w:val="0"/>
          <w:numId w:val="1011"/>
        </w:numPr>
      </w:pPr>
      <w:r>
        <w:t xml:space="preserve">Stronger free-cash-flow confidence</w:t>
      </w:r>
    </w:p>
    <w:p>
      <w:pPr>
        <w:pStyle w:val="Compact"/>
        <w:numPr>
          <w:ilvl w:val="0"/>
          <w:numId w:val="1011"/>
        </w:numPr>
      </w:pPr>
      <w:r>
        <w:t xml:space="preserve">Clear plan for Food Ingredients proceeds, stranded costs and repurchases</w:t>
      </w:r>
    </w:p>
    <w:bookmarkEnd w:id="24"/>
    <w:bookmarkStart w:id="25" w:name="base-case"/>
    <w:p>
      <w:pPr>
        <w:pStyle w:val="Heading3"/>
      </w:pPr>
      <w:r>
        <w:t xml:space="preserve">Base case</w:t>
      </w:r>
    </w:p>
    <w:p>
      <w:pPr>
        <w:pStyle w:val="Compact"/>
        <w:numPr>
          <w:ilvl w:val="0"/>
          <w:numId w:val="1012"/>
        </w:numPr>
      </w:pPr>
      <w:r>
        <w:t xml:space="preserve">Sales near $2.69 billion and EBITDA around $530 million</w:t>
      </w:r>
    </w:p>
    <w:p>
      <w:pPr>
        <w:pStyle w:val="Compact"/>
        <w:numPr>
          <w:ilvl w:val="0"/>
          <w:numId w:val="1012"/>
        </w:numPr>
      </w:pPr>
      <w:r>
        <w:t xml:space="preserve">Q2 confirmed as the earnings trough</w:t>
      </w:r>
    </w:p>
    <w:p>
      <w:pPr>
        <w:pStyle w:val="Compact"/>
        <w:numPr>
          <w:ilvl w:val="0"/>
          <w:numId w:val="1012"/>
        </w:numPr>
      </w:pPr>
      <w:r>
        <w:t xml:space="preserve">Full-year guidance reaffirmed</w:t>
      </w:r>
    </w:p>
    <w:p>
      <w:pPr>
        <w:pStyle w:val="Compact"/>
        <w:numPr>
          <w:ilvl w:val="0"/>
          <w:numId w:val="1012"/>
        </w:numPr>
      </w:pPr>
      <w:r>
        <w:t xml:space="preserve">Pricing and commercial pipelines support sequential improvement</w:t>
      </w:r>
    </w:p>
    <w:p>
      <w:pPr>
        <w:pStyle w:val="Compact"/>
        <w:numPr>
          <w:ilvl w:val="0"/>
          <w:numId w:val="1012"/>
        </w:numPr>
      </w:pPr>
      <w:r>
        <w:t xml:space="preserve">No meaningful change to the Food Ingredients closing timetable</w:t>
      </w:r>
    </w:p>
    <w:bookmarkEnd w:id="25"/>
    <w:bookmarkStart w:id="26" w:name="bear-case"/>
    <w:p>
      <w:pPr>
        <w:pStyle w:val="Heading3"/>
      </w:pPr>
      <w:r>
        <w:t xml:space="preserve">Bear case</w:t>
      </w:r>
    </w:p>
    <w:p>
      <w:pPr>
        <w:pStyle w:val="Compact"/>
        <w:numPr>
          <w:ilvl w:val="0"/>
          <w:numId w:val="1013"/>
        </w:numPr>
      </w:pPr>
      <w:r>
        <w:t xml:space="preserve">EBITDA below approximately</w:t>
      </w:r>
      <w:r>
        <w:t xml:space="preserve"> </w:t>
      </w:r>
      <w:r>
        <w:rPr>
          <w:b/>
          <w:bCs/>
        </w:rPr>
        <w:t xml:space="preserve">$518 million</w:t>
      </w:r>
    </w:p>
    <w:p>
      <w:pPr>
        <w:pStyle w:val="Compact"/>
        <w:numPr>
          <w:ilvl w:val="0"/>
          <w:numId w:val="1013"/>
        </w:numPr>
      </w:pPr>
      <w:r>
        <w:t xml:space="preserve">Broader-than-expected weakness in Fine or Consumer Fragrance</w:t>
      </w:r>
    </w:p>
    <w:p>
      <w:pPr>
        <w:pStyle w:val="Compact"/>
        <w:numPr>
          <w:ilvl w:val="0"/>
          <w:numId w:val="1013"/>
        </w:numPr>
      </w:pPr>
      <w:r>
        <w:t xml:space="preserve">Additional deterioration in commodity Fragrance Ingredients</w:t>
      </w:r>
    </w:p>
    <w:p>
      <w:pPr>
        <w:pStyle w:val="Compact"/>
        <w:numPr>
          <w:ilvl w:val="0"/>
          <w:numId w:val="1013"/>
        </w:numPr>
      </w:pPr>
      <w:r>
        <w:t xml:space="preserve">Pricing recovery pushed out</w:t>
      </w:r>
    </w:p>
    <w:p>
      <w:pPr>
        <w:pStyle w:val="Compact"/>
        <w:numPr>
          <w:ilvl w:val="0"/>
          <w:numId w:val="1013"/>
        </w:numPr>
      </w:pPr>
      <w:r>
        <w:t xml:space="preserve">Full-year EBITDA range reduced or biased toward the low end</w:t>
      </w:r>
    </w:p>
    <w:p>
      <w:pPr>
        <w:pStyle w:val="Compact"/>
        <w:numPr>
          <w:ilvl w:val="0"/>
          <w:numId w:val="1013"/>
        </w:numPr>
      </w:pPr>
      <w:r>
        <w:t xml:space="preserve">Weak cash conversion or another working-capital build</w:t>
      </w:r>
    </w:p>
    <w:p>
      <w:pPr>
        <w:pStyle w:val="Compact"/>
        <w:numPr>
          <w:ilvl w:val="0"/>
          <w:numId w:val="1013"/>
        </w:numPr>
      </w:pPr>
      <w:r>
        <w:t xml:space="preserve">Materially higher stranded-cost expectations from the Food Ingredients sale</w:t>
      </w:r>
    </w:p>
    <w:bookmarkEnd w:id="26"/>
    <w:bookmarkEnd w:id="27"/>
    <w:bookmarkStart w:id="28" w:name="bottom-line"/>
    <w:p>
      <w:pPr>
        <w:pStyle w:val="Heading2"/>
      </w:pPr>
      <w:r>
        <w:t xml:space="preserve">Bottom line</w:t>
      </w:r>
    </w:p>
    <w:p>
      <w:pPr>
        <w:pStyle w:val="FirstParagraph"/>
      </w:pPr>
      <w:r>
        <w:t xml:space="preserve">IFF has already delivered the major strategic catalyst investors were awaiting: a signed agreement to sell Food Ingredients at a substantial valuation. This quarter therefore needs to validate the operating side of the thesis.</w:t>
      </w:r>
    </w:p>
    <w:p>
      <w:pPr>
        <w:pStyle w:val="BodyText"/>
      </w:pPr>
      <w:r>
        <w:t xml:space="preserve">The most important question is not whether Q2 EBITDA declines sequentially—that was clearly telegraphed. It is whether management can demonstrate that:</w:t>
      </w:r>
    </w:p>
    <w:p>
      <w:pPr>
        <w:pStyle w:val="Compact"/>
        <w:numPr>
          <w:ilvl w:val="0"/>
          <w:numId w:val="1014"/>
        </w:numPr>
      </w:pPr>
      <w:r>
        <w:rPr>
          <w:b/>
          <w:bCs/>
        </w:rPr>
        <w:t xml:space="preserve">Q2 was the price-cost and Scent trough;</w:t>
      </w:r>
    </w:p>
    <w:p>
      <w:pPr>
        <w:pStyle w:val="Compact"/>
        <w:numPr>
          <w:ilvl w:val="0"/>
          <w:numId w:val="1014"/>
        </w:numPr>
      </w:pPr>
      <w:r>
        <w:rPr>
          <w:b/>
          <w:bCs/>
        </w:rPr>
        <w:t xml:space="preserve">core volume growth remains healthy;</w:t>
      </w:r>
    </w:p>
    <w:p>
      <w:pPr>
        <w:pStyle w:val="Compact"/>
        <w:numPr>
          <w:ilvl w:val="0"/>
          <w:numId w:val="1014"/>
        </w:numPr>
      </w:pPr>
      <w:r>
        <w:rPr>
          <w:b/>
          <w:bCs/>
        </w:rPr>
        <w:t xml:space="preserve">full-year EBITDA near $2.1 billion remains achievable;</w:t>
      </w:r>
    </w:p>
    <w:p>
      <w:pPr>
        <w:pStyle w:val="Compact"/>
        <w:numPr>
          <w:ilvl w:val="0"/>
          <w:numId w:val="1014"/>
        </w:numPr>
      </w:pPr>
      <w:r>
        <w:rPr>
          <w:b/>
          <w:bCs/>
        </w:rPr>
        <w:t xml:space="preserve">free cash flow is improving; and</w:t>
      </w:r>
    </w:p>
    <w:p>
      <w:pPr>
        <w:pStyle w:val="Compact"/>
        <w:numPr>
          <w:ilvl w:val="0"/>
          <w:numId w:val="1014"/>
        </w:numPr>
      </w:pPr>
      <w:r>
        <w:rPr>
          <w:b/>
          <w:bCs/>
        </w:rPr>
        <w:t xml:space="preserve">the post-Food Ingredients company can emerge with lower leverage, fewer structural headwinds and a credible path to higher margins.</w:t>
      </w:r>
    </w:p>
    <w:p>
      <w:pPr>
        <w:pStyle w:val="FirstParagraph"/>
      </w:pPr>
      <w:r>
        <w:t xml:space="preserve">A clean quarter near consensus with unchanged guidance and a convincing second-half recovery bridge should be viewed positively. The principal downside risk is evidence that Scent and inflation pressures are persisting beyond Q2, eroding the cushion created by the strong first quarter.</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iff.com/?utm_source=openai" TargetMode="External" /><Relationship Type="http://schemas.openxmlformats.org/officeDocument/2006/relationships/hyperlink" Id="rId10" Target="https://ir.iff.com/news-releases/news-release-details/iff-reports-first-quarter-2026-results?utm_source=openai" TargetMode="External" /><Relationship Type="http://schemas.openxmlformats.org/officeDocument/2006/relationships/hyperlink" Id="rId20" Target="https://ir.iff.com/node/40256" TargetMode="External" /><Relationship Type="http://schemas.openxmlformats.org/officeDocument/2006/relationships/hyperlink" Id="rId19" Target="https://ir.iff.com/static-files/7e68d3c6-0ee6-4e52-8330-6524b861e43c?utm_source=openai" TargetMode="External" /><Relationship Type="http://schemas.openxmlformats.org/officeDocument/2006/relationships/hyperlink" Id="rId12" Target="https://ir.iff.com/stock-information/analyst-coverage" TargetMode="External" /></Relationships>
</file>

<file path=word/_rels/footnotes.xml.rels><?xml version="1.0" encoding="UTF-8"?><Relationships xmlns="http://schemas.openxmlformats.org/package/2006/relationships"><Relationship Type="http://schemas.openxmlformats.org/officeDocument/2006/relationships/hyperlink" Id="rId9" Target="https://ir.iff.com/?utm_source=openai" TargetMode="External" /><Relationship Type="http://schemas.openxmlformats.org/officeDocument/2006/relationships/hyperlink" Id="rId10" Target="https://ir.iff.com/news-releases/news-release-details/iff-reports-first-quarter-2026-results?utm_source=openai" TargetMode="External" /><Relationship Type="http://schemas.openxmlformats.org/officeDocument/2006/relationships/hyperlink" Id="rId20" Target="https://ir.iff.com/node/40256" TargetMode="External" /><Relationship Type="http://schemas.openxmlformats.org/officeDocument/2006/relationships/hyperlink" Id="rId19" Target="https://ir.iff.com/static-files/7e68d3c6-0ee6-4e52-8330-6524b861e43c?utm_source=openai" TargetMode="External" /><Relationship Type="http://schemas.openxmlformats.org/officeDocument/2006/relationships/hyperlink" Id="rId12" Target="https://ir.iff.com/stock-information/analyst-coverag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2026-08-04T02:00:14Z</dcterms:created>
  <dcterms:modified xsi:type="dcterms:W3CDTF">2026-08-04T02:00:14Z</dcterms:modified>
</cp:coreProperties>
</file>

<file path=docProps/custom.xml><?xml version="1.0" encoding="utf-8"?>
<Properties xmlns="http://schemas.openxmlformats.org/officeDocument/2006/custom-properties" xmlns:vt="http://schemas.openxmlformats.org/officeDocument/2006/docPropsVTypes"/>
</file>