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ff-earnings-predictions--2026-08-04"/>
    <w:p>
      <w:pPr>
        <w:pStyle w:val="Heading1"/>
      </w:pPr>
      <w:r>
        <w:t xml:space="preserve">IFF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~$2.68B vs. cons $2.73B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operating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~$532M vs. cons $536M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 ex-amortization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~$1.08 vs. cons $1.12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~$10.65B vs. cons $10.67B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~$2.10B vs. cons $2.10B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Food Ingredients sale net-proceeds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~$3.8B vs. cons $3.8B (closing by Q2 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-1.1% (FADE)</w:t>
            </w:r>
          </w:p>
        </w:tc>
        <w:tc>
          <w:tcPr/>
          <w:p>
            <w:pPr>
              <w:pStyle w:val="Compact"/>
            </w:pPr>
            <w:r>
              <w:t xml:space="preserve">A modest sales/EPS shortfall and weak Scent mix should drive an initial de-risking, but retained FY2026 midpoint EBITDA guidance of ~</w:t>
            </w:r>
            <m:oMath>
              <m:r>
                <m:t>2.10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2.10B limits out-period estimate cuts; the initial reaction should partially fade as investors focus on price recovery and the ~$3.8B Food Ingredients proceeds.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2026-08-04T01:59:29Z</dcterms:created>
  <dcterms:modified xsi:type="dcterms:W3CDTF">2026-08-04T01:59:29Z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