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iff-q2-2026-earnings-preview"/>
    <w:p>
      <w:pPr>
        <w:pStyle w:val="Heading1"/>
      </w:pPr>
      <w:r>
        <w:t xml:space="preserve">IFF Q2 2026 Earnings Preview</w:t>
      </w:r>
    </w:p>
    <w:p>
      <w:pPr>
        <w:pStyle w:val="BlockText"/>
      </w:pPr>
      <w:r>
        <w:rPr>
          <w:b/>
          <w:bCs/>
        </w:rPr>
        <w:t xml:space="preserve">Timing correction:</w:t>
      </w:r>
      <w:r>
        <w:t xml:space="preserve"> </w:t>
      </w:r>
      <w:r>
        <w:t xml:space="preserve">IFF is scheduled to report</w:t>
      </w:r>
      <w:r>
        <w:t xml:space="preserve"> </w:t>
      </w:r>
      <w:r>
        <w:rPr>
          <w:b/>
          <w:bCs/>
        </w:rPr>
        <w:t xml:space="preserve">after the market close today, Tuesday, August 4, 2026</w:t>
      </w:r>
      <w:r>
        <w:t xml:space="preserve">, with its earnings call at</w:t>
      </w:r>
      <w:r>
        <w:t xml:space="preserve"> </w:t>
      </w:r>
      <w:r>
        <w:rPr>
          <w:b/>
          <w:bCs/>
        </w:rPr>
        <w:t xml:space="preserve">9:00 a.m. ET on Wednesday, August 5</w:t>
      </w:r>
      <w:r>
        <w:t xml:space="preserve">—not tomorrow.</w:t>
      </w:r>
    </w:p>
    <w:bookmarkStart w:id="9" w:name="bottom-line"/>
    <w:p>
      <w:pPr>
        <w:pStyle w:val="Heading2"/>
      </w:pPr>
      <w:r>
        <w:t xml:space="preserve">Bottom line</w:t>
      </w:r>
    </w:p>
    <w:p>
      <w:pPr>
        <w:pStyle w:val="FirstParagraph"/>
      </w:pPr>
      <w:r>
        <w:t xml:space="preserve">IFF enters Q2 with a solid operational start to 2026, but with a deliberately softer near-term setup than Q1. The key issue is not whether the company can show underlying growth—Q1 demonstrated broad-based volume improvement and margin expansion—but whether the anticipated Q2 pressure in</w:t>
      </w:r>
      <w:r>
        <w:t xml:space="preserve"> </w:t>
      </w:r>
      <w:r>
        <w:rPr>
          <w:b/>
          <w:bCs/>
        </w:rPr>
        <w:t xml:space="preserve">Fine Fragrance, energy/logistics costs, and price-cost timing</w:t>
      </w:r>
      <w:r>
        <w:t xml:space="preserve"> </w:t>
      </w:r>
      <w:r>
        <w:t xml:space="preserve">is contained enough to preserve full-year guidance.</w:t>
      </w:r>
    </w:p>
    <w:p>
      <w:pPr>
        <w:pStyle w:val="BodyText"/>
      </w:pPr>
      <w:r>
        <w:t xml:space="preserve">The more consequential catalyst is portfolio-related: IFF’s June financing disclosure confirms that it has</w:t>
      </w:r>
      <w:r>
        <w:t xml:space="preserve"> </w:t>
      </w:r>
      <w:r>
        <w:rPr>
          <w:b/>
          <w:bCs/>
        </w:rPr>
        <w:t xml:space="preserve">signed an agreement to sell Food Ingredients</w:t>
      </w:r>
      <w:r>
        <w:t xml:space="preserve">, expected to generate roughly</w:t>
      </w:r>
      <w:r>
        <w:t xml:space="preserve"> </w:t>
      </w:r>
      <w:r>
        <w:rPr>
          <w:b/>
          <w:bCs/>
        </w:rPr>
        <w:t xml:space="preserve">$3.8 billion of net cash proceeds</w:t>
      </w:r>
      <w:r>
        <w:t xml:space="preserve"> </w:t>
      </w:r>
      <w:r>
        <w:t xml:space="preserve">and close by the end of Q2 2027. Investors will want clarity on buyer, valuation, closing conditions, stranded-cost mitigation, and the post-sale capital-allocation framework.</w:t>
      </w:r>
    </w:p>
    <w:bookmarkEnd w:id="9"/>
    <w:bookmarkStart w:id="10" w:name="X0fa5f0763648d064d84cfe60c8a4655ad237957"/>
    <w:p>
      <w:pPr>
        <w:pStyle w:val="Heading2"/>
      </w:pPr>
      <w:r>
        <w:t xml:space="preserve">What management has already told investors to expect</w:t>
      </w:r>
    </w:p>
    <w:p>
      <w:pPr>
        <w:pStyle w:val="FirstParagraph"/>
      </w:pPr>
      <w:r>
        <w:t xml:space="preserve">At Q1, IFF explicitly indicated that</w:t>
      </w:r>
      <w:r>
        <w:t xml:space="preserve"> </w:t>
      </w:r>
      <w:r>
        <w:rPr>
          <w:b/>
          <w:bCs/>
        </w:rPr>
        <w:t xml:space="preserve">Q2 adjusted operating EBITDA would be below Q1’s $568 million</w:t>
      </w:r>
      <w:r>
        <w:t xml:space="preserve">. Management attributed the sequential decline to:</w:t>
      </w:r>
    </w:p>
    <w:p>
      <w:pPr>
        <w:pStyle w:val="Compact"/>
        <w:numPr>
          <w:ilvl w:val="0"/>
          <w:numId w:val="1001"/>
        </w:numPr>
      </w:pPr>
      <w:r>
        <w:rPr>
          <w:b/>
          <w:bCs/>
        </w:rPr>
        <w:t xml:space="preserve">Moderating growth</w:t>
      </w:r>
      <w:r>
        <w:t xml:space="preserve"> </w:t>
      </w:r>
      <w:r>
        <w:t xml:space="preserve">versus Q1.</w:t>
      </w:r>
    </w:p>
    <w:p>
      <w:pPr>
        <w:pStyle w:val="Compact"/>
        <w:numPr>
          <w:ilvl w:val="0"/>
          <w:numId w:val="1001"/>
        </w:numPr>
      </w:pPr>
      <w:r>
        <w:rPr>
          <w:b/>
          <w:bCs/>
        </w:rPr>
        <w:t xml:space="preserve">Unfavorable price versus input costs</w:t>
      </w:r>
      <w:r>
        <w:t xml:space="preserve">, as energy and logistics inflation arrives faster than customer surcharges.</w:t>
      </w:r>
    </w:p>
    <w:p>
      <w:pPr>
        <w:pStyle w:val="Compact"/>
        <w:numPr>
          <w:ilvl w:val="0"/>
          <w:numId w:val="1001"/>
        </w:numPr>
      </w:pPr>
      <w:r>
        <w:rPr>
          <w:b/>
          <w:bCs/>
        </w:rPr>
        <w:t xml:space="preserve">Fine Fragrance weakness in the Middle East</w:t>
      </w:r>
      <w:r>
        <w:t xml:space="preserve">, affecting both demand and customer supply chains.</w:t>
      </w:r>
    </w:p>
    <w:p>
      <w:pPr>
        <w:pStyle w:val="FirstParagraph"/>
      </w:pPr>
      <w:r>
        <w:t xml:space="preserve">That guidance sets a relatively clear near-term hurdle: a lower sequential EBITDA result is expected, so the market should focus more heavily on the quality of segment trends, the severity of Scent pressure, and whether management can credibly maintain its second-half recovery narrative.</w:t>
      </w:r>
    </w:p>
    <w:bookmarkEnd w:id="10"/>
    <w:bookmarkStart w:id="11" w:name="X34ab6066c467c6e4936fbb6518f46c7aed303ea"/>
    <w:p>
      <w:pPr>
        <w:pStyle w:val="Heading2"/>
      </w:pPr>
      <w:r>
        <w:t xml:space="preserve">Starting point: Q1 was better than expected operationally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Q1 2026 metric</w:t>
            </w:r>
          </w:p>
        </w:tc>
        <w:tc>
          <w:tcPr/>
          <w:p>
            <w:pPr>
              <w:pStyle w:val="Compact"/>
              <w:jc w:val="right"/>
            </w:pPr>
            <w:r>
              <w:t xml:space="preserve">Result</w:t>
            </w:r>
          </w:p>
        </w:tc>
        <w:tc>
          <w:tcPr/>
          <w:p>
            <w:pPr>
              <w:pStyle w:val="Compact"/>
              <w:jc w:val="right"/>
            </w:pPr>
            <w:r>
              <w:t xml:space="preserve">Comparable, currency-neutral change</w:t>
            </w:r>
          </w:p>
        </w:tc>
      </w:tr>
      <w:tr>
        <w:tc>
          <w:tcPr/>
          <w:p>
            <w:pPr>
              <w:pStyle w:val="Compact"/>
            </w:pPr>
            <w:r>
              <w:t xml:space="preserve">Sales</w:t>
            </w:r>
          </w:p>
        </w:tc>
        <w:tc>
          <w:tcPr/>
          <w:p>
            <w:pPr>
              <w:pStyle w:val="Compact"/>
              <w:jc w:val="right"/>
            </w:pPr>
            <w:r>
              <w:rPr>
                <w:b/>
                <w:bCs/>
              </w:rPr>
              <w:t xml:space="preserve">$2.74B</w:t>
            </w:r>
          </w:p>
        </w:tc>
        <w:tc>
          <w:tcPr/>
          <w:p>
            <w:pPr>
              <w:pStyle w:val="Compact"/>
              <w:jc w:val="right"/>
            </w:pPr>
            <w:r>
              <w:rPr>
                <w:b/>
                <w:bCs/>
              </w:rPr>
              <w:t xml:space="preserve">+3%</w:t>
            </w:r>
          </w:p>
        </w:tc>
      </w:tr>
      <w:tr>
        <w:tc>
          <w:tcPr/>
          <w:p>
            <w:pPr>
              <w:pStyle w:val="Compact"/>
            </w:pPr>
            <w:r>
              <w:t xml:space="preserve">Adjusted operating EBITDA</w:t>
            </w:r>
          </w:p>
        </w:tc>
        <w:tc>
          <w:tcPr/>
          <w:p>
            <w:pPr>
              <w:pStyle w:val="Compact"/>
              <w:jc w:val="right"/>
            </w:pPr>
            <w:r>
              <w:rPr>
                <w:b/>
                <w:bCs/>
              </w:rPr>
              <w:t xml:space="preserve">$568M</w:t>
            </w:r>
          </w:p>
        </w:tc>
        <w:tc>
          <w:tcPr/>
          <w:p>
            <w:pPr>
              <w:pStyle w:val="Compact"/>
              <w:jc w:val="right"/>
            </w:pPr>
            <w:r>
              <w:rPr>
                <w:b/>
                <w:bCs/>
              </w:rPr>
              <w:t xml:space="preserve">+8%</w:t>
            </w:r>
          </w:p>
        </w:tc>
      </w:tr>
      <w:tr>
        <w:tc>
          <w:tcPr/>
          <w:p>
            <w:pPr>
              <w:pStyle w:val="Compact"/>
            </w:pPr>
            <w:r>
              <w:t xml:space="preserve">Adjusted EBITDA margin</w:t>
            </w:r>
          </w:p>
        </w:tc>
        <w:tc>
          <w:tcPr/>
          <w:p>
            <w:pPr>
              <w:pStyle w:val="Compact"/>
              <w:jc w:val="right"/>
            </w:pPr>
            <w:r>
              <w:rPr>
                <w:b/>
                <w:bCs/>
              </w:rPr>
              <w:t xml:space="preserve">20.7%</w:t>
            </w:r>
          </w:p>
        </w:tc>
        <w:tc>
          <w:tcPr/>
          <w:p>
            <w:pPr>
              <w:pStyle w:val="Compact"/>
              <w:jc w:val="right"/>
            </w:pPr>
            <w:r>
              <w:rPr>
                <w:b/>
                <w:bCs/>
              </w:rPr>
              <w:t xml:space="preserve">+110 bps</w:t>
            </w:r>
          </w:p>
        </w:tc>
      </w:tr>
      <w:tr>
        <w:tc>
          <w:tcPr/>
          <w:p>
            <w:pPr>
              <w:pStyle w:val="Compact"/>
            </w:pPr>
            <w:r>
              <w:t xml:space="preserve">Adjusted EPS ex-amortization</w:t>
            </w:r>
          </w:p>
        </w:tc>
        <w:tc>
          <w:tcPr/>
          <w:p>
            <w:pPr>
              <w:pStyle w:val="Compact"/>
              <w:jc w:val="right"/>
            </w:pPr>
            <w:r>
              <w:rPr>
                <w:b/>
                <w:bCs/>
              </w:rPr>
              <w:t xml:space="preserve">$1.25</w:t>
            </w:r>
          </w:p>
        </w:tc>
        <w:tc>
          <w:tcPr/>
          <w:p>
            <w:pPr>
              <w:pStyle w:val="Compact"/>
              <w:jc w:val="right"/>
            </w:pPr>
            <w:r>
              <w:t xml:space="preserve">vs. $1.20 in Q1 2025</w:t>
            </w:r>
          </w:p>
        </w:tc>
      </w:tr>
      <w:tr>
        <w:tc>
          <w:tcPr/>
          <w:p>
            <w:pPr>
              <w:pStyle w:val="Compact"/>
            </w:pPr>
            <w:r>
              <w:t xml:space="preserve">Free cash flow</w:t>
            </w:r>
          </w:p>
        </w:tc>
        <w:tc>
          <w:tcPr/>
          <w:p>
            <w:pPr>
              <w:pStyle w:val="Compact"/>
              <w:jc w:val="right"/>
            </w:pPr>
            <w:r>
              <w:rPr>
                <w:b/>
                <w:bCs/>
              </w:rPr>
              <w:t xml:space="preserve">$92M</w:t>
            </w:r>
          </w:p>
        </w:tc>
        <w:tc>
          <w:tcPr/>
          <w:p>
            <w:pPr>
              <w:pStyle w:val="Compact"/>
              <w:jc w:val="right"/>
            </w:pPr>
            <w:r>
              <w:t xml:space="preserve">+$144M YoY</w:t>
            </w:r>
          </w:p>
        </w:tc>
      </w:tr>
      <w:tr>
        <w:tc>
          <w:tcPr/>
          <w:p>
            <w:pPr>
              <w:pStyle w:val="Compact"/>
            </w:pPr>
            <w:r>
              <w:t xml:space="preserve">Net debt / credit-adjusted EBITDA</w:t>
            </w:r>
          </w:p>
        </w:tc>
        <w:tc>
          <w:tcPr/>
          <w:p>
            <w:pPr>
              <w:pStyle w:val="Compact"/>
              <w:jc w:val="right"/>
            </w:pPr>
            <w:r>
              <w:rPr>
                <w:b/>
                <w:bCs/>
              </w:rPr>
              <w:t xml:space="preserve">2.5x</w:t>
            </w:r>
          </w:p>
        </w:tc>
        <w:tc>
          <w:tcPr/>
          <w:p>
            <w:pPr>
              <w:pStyle w:val="Compact"/>
              <w:jc w:val="right"/>
            </w:pPr>
            <w:r>
              <w:t xml:space="preserve">Stable vs. Q4 2025</w:t>
            </w:r>
          </w:p>
        </w:tc>
      </w:tr>
    </w:tbl>
    <w:p>
      <w:pPr>
        <w:pStyle w:val="BodyText"/>
      </w:pPr>
      <w:r>
        <w:t xml:space="preserve">Q1’s most constructive feature was that all four operating segments delivered comparable currency-neutral sales growth. Taste, Food Ingredients, and Health &amp; Biosciences also posted strong profit growth, leaving</w:t>
      </w:r>
      <w:r>
        <w:t xml:space="preserve"> </w:t>
      </w:r>
      <w:r>
        <w:rPr>
          <w:b/>
          <w:bCs/>
        </w:rPr>
        <w:t xml:space="preserve">Scent</w:t>
      </w:r>
      <w:r>
        <w:t xml:space="preserve"> </w:t>
      </w:r>
      <w:r>
        <w:t xml:space="preserve">as the principal weak spot.</w:t>
      </w:r>
    </w:p>
    <w:bookmarkEnd w:id="11"/>
    <w:bookmarkStart w:id="16" w:name="segment-dashboard-what-matters-in-q2"/>
    <w:p>
      <w:pPr>
        <w:pStyle w:val="Heading2"/>
      </w:pPr>
      <w:r>
        <w:t xml:space="preserve">Segment dashboard: what matters in Q2</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Segment</w:t>
            </w:r>
          </w:p>
        </w:tc>
        <w:tc>
          <w:tcPr/>
          <w:p>
            <w:pPr>
              <w:pStyle w:val="Compact"/>
              <w:jc w:val="right"/>
            </w:pPr>
            <w:r>
              <w:t xml:space="preserve">Q1 2026 sales growth*</w:t>
            </w:r>
          </w:p>
        </w:tc>
        <w:tc>
          <w:tcPr/>
          <w:p>
            <w:pPr>
              <w:pStyle w:val="Compact"/>
              <w:jc w:val="right"/>
            </w:pPr>
            <w:r>
              <w:t xml:space="preserve">Q1 EBITDA growth*</w:t>
            </w:r>
          </w:p>
        </w:tc>
        <w:tc>
          <w:tcPr/>
          <w:p>
            <w:pPr>
              <w:pStyle w:val="Compact"/>
            </w:pPr>
            <w:r>
              <w:t xml:space="preserve">Q2 focus</w:t>
            </w:r>
          </w:p>
        </w:tc>
      </w:tr>
      <w:tr>
        <w:tc>
          <w:tcPr/>
          <w:p>
            <w:pPr>
              <w:pStyle w:val="Compact"/>
            </w:pPr>
            <w:r>
              <w:rPr>
                <w:b/>
                <w:bCs/>
              </w:rPr>
              <w:t xml:space="preserve">Taste</w:t>
            </w:r>
          </w:p>
        </w:tc>
        <w:tc>
          <w:tcPr/>
          <w:p>
            <w:pPr>
              <w:pStyle w:val="Compact"/>
              <w:jc w:val="right"/>
            </w:pPr>
            <w:r>
              <w:t xml:space="preserve">+2%</w:t>
            </w:r>
          </w:p>
        </w:tc>
        <w:tc>
          <w:tcPr/>
          <w:p>
            <w:pPr>
              <w:pStyle w:val="Compact"/>
              <w:jc w:val="right"/>
            </w:pPr>
            <w:r>
              <w:t xml:space="preserve">+18%</w:t>
            </w:r>
          </w:p>
        </w:tc>
        <w:tc>
          <w:tcPr/>
          <w:p>
            <w:pPr>
              <w:pStyle w:val="Compact"/>
            </w:pPr>
            <w:r>
              <w:t xml:space="preserve">Sustainability of margin gains; volume, pricing, and productivity all helped in Q1, but management cautioned that Q1’s degree of operating leverage should normalize.</w:t>
            </w:r>
          </w:p>
        </w:tc>
      </w:tr>
      <w:tr>
        <w:tc>
          <w:tcPr/>
          <w:p>
            <w:pPr>
              <w:pStyle w:val="Compact"/>
            </w:pPr>
            <w:r>
              <w:rPr>
                <w:b/>
                <w:bCs/>
              </w:rPr>
              <w:t xml:space="preserve">Food Ingredients</w:t>
            </w:r>
          </w:p>
        </w:tc>
        <w:tc>
          <w:tcPr/>
          <w:p>
            <w:pPr>
              <w:pStyle w:val="Compact"/>
              <w:jc w:val="right"/>
            </w:pPr>
            <w:r>
              <w:t xml:space="preserve">+3%</w:t>
            </w:r>
          </w:p>
        </w:tc>
        <w:tc>
          <w:tcPr/>
          <w:p>
            <w:pPr>
              <w:pStyle w:val="Compact"/>
              <w:jc w:val="right"/>
            </w:pPr>
            <w:r>
              <w:t xml:space="preserve">+12%</w:t>
            </w:r>
          </w:p>
        </w:tc>
        <w:tc>
          <w:tcPr/>
          <w:p>
            <w:pPr>
              <w:pStyle w:val="Compact"/>
            </w:pPr>
            <w:r>
              <w:t xml:space="preserve">Continued standalone improvement and, more importantly, transaction details. Q1 EBITDA margin was 13.6%; management previously targeted further progress.</w:t>
            </w:r>
          </w:p>
        </w:tc>
      </w:tr>
      <w:tr>
        <w:tc>
          <w:tcPr/>
          <w:p>
            <w:pPr>
              <w:pStyle w:val="Compact"/>
            </w:pPr>
            <w:r>
              <w:rPr>
                <w:b/>
                <w:bCs/>
              </w:rPr>
              <w:t xml:space="preserve">Health &amp; Biosciences</w:t>
            </w:r>
          </w:p>
        </w:tc>
        <w:tc>
          <w:tcPr/>
          <w:p>
            <w:pPr>
              <w:pStyle w:val="Compact"/>
              <w:jc w:val="right"/>
            </w:pPr>
            <w:r>
              <w:t xml:space="preserve">+5%</w:t>
            </w:r>
          </w:p>
        </w:tc>
        <w:tc>
          <w:tcPr/>
          <w:p>
            <w:pPr>
              <w:pStyle w:val="Compact"/>
              <w:jc w:val="right"/>
            </w:pPr>
            <w:r>
              <w:t xml:space="preserve">+7%</w:t>
            </w:r>
          </w:p>
        </w:tc>
        <w:tc>
          <w:tcPr/>
          <w:p>
            <w:pPr>
              <w:pStyle w:val="Compact"/>
            </w:pPr>
            <w:r>
              <w:t xml:space="preserve">Whether the health/probiotics turnaround is beginning to emerge. Management had expected this business to be roughly flat in 1H, with improvement in 2H and acceleration in 2027.</w:t>
            </w:r>
          </w:p>
        </w:tc>
      </w:tr>
      <w:tr>
        <w:tc>
          <w:tcPr/>
          <w:p>
            <w:pPr>
              <w:pStyle w:val="Compact"/>
            </w:pPr>
            <w:r>
              <w:rPr>
                <w:b/>
                <w:bCs/>
              </w:rPr>
              <w:t xml:space="preserve">Scent</w:t>
            </w:r>
          </w:p>
        </w:tc>
        <w:tc>
          <w:tcPr/>
          <w:p>
            <w:pPr>
              <w:pStyle w:val="Compact"/>
              <w:jc w:val="right"/>
            </w:pPr>
            <w:r>
              <w:t xml:space="preserve">+1%</w:t>
            </w:r>
          </w:p>
        </w:tc>
        <w:tc>
          <w:tcPr/>
          <w:p>
            <w:pPr>
              <w:pStyle w:val="Compact"/>
              <w:jc w:val="right"/>
            </w:pPr>
            <w:r>
              <w:t xml:space="preserve">-2%</w:t>
            </w:r>
          </w:p>
        </w:tc>
        <w:tc>
          <w:tcPr/>
          <w:p>
            <w:pPr>
              <w:pStyle w:val="Compact"/>
            </w:pPr>
            <w:r>
              <w:t xml:space="preserve">The crucial swing factor. Watch Fine Fragrance exposure to the Middle East, Consumer Fragrance momentum, and ongoing commodity Fragrance Ingredients pressure.</w:t>
            </w:r>
          </w:p>
        </w:tc>
      </w:tr>
    </w:tbl>
    <w:p>
      <w:pPr>
        <w:pStyle w:val="BodyText"/>
      </w:pPr>
      <w:r>
        <w:t xml:space="preserve">*Comparable, currency-neutral basis.</w:t>
      </w:r>
    </w:p>
    <w:bookmarkStart w:id="12" w:name="Xc0c4557f0fedc446a375e93e6d6ba331c50157d"/>
    <w:p>
      <w:pPr>
        <w:pStyle w:val="Heading3"/>
      </w:pPr>
      <w:r>
        <w:t xml:space="preserve">1. Scent is the report’s biggest operating risk</w:t>
      </w:r>
    </w:p>
    <w:p>
      <w:pPr>
        <w:pStyle w:val="FirstParagraph"/>
      </w:pPr>
      <w:r>
        <w:t xml:space="preserve">Scent was the only Q1 segment with declining EBITDA, despite sales growth. The drivers were unfavorable price-cost dynamics in Fragrance Ingredients and commodity competition, while Fine Fragrance and Consumer Fragrance were healthier.</w:t>
      </w:r>
    </w:p>
    <w:p>
      <w:pPr>
        <w:pStyle w:val="BodyText"/>
      </w:pPr>
      <w:r>
        <w:t xml:space="preserve">For Q2, the Middle East disruption adds a second problem: management expects lower Fine Fragrance volume and adverse mix because of weaker regional demand and customers’ temporary packaging/supply-chain constraints. The key questions are:</w:t>
      </w:r>
    </w:p>
    <w:p>
      <w:pPr>
        <w:pStyle w:val="Compact"/>
        <w:numPr>
          <w:ilvl w:val="0"/>
          <w:numId w:val="1002"/>
        </w:numPr>
      </w:pPr>
      <w:r>
        <w:t xml:space="preserve">Has Fine Fragrance demand stabilized by July?</w:t>
      </w:r>
    </w:p>
    <w:p>
      <w:pPr>
        <w:pStyle w:val="Compact"/>
        <w:numPr>
          <w:ilvl w:val="0"/>
          <w:numId w:val="1002"/>
        </w:numPr>
      </w:pPr>
      <w:r>
        <w:t xml:space="preserve">How much of the Q2 shortfall is temporary supply-chain disruption versus weaker end consumption?</w:t>
      </w:r>
    </w:p>
    <w:p>
      <w:pPr>
        <w:pStyle w:val="Compact"/>
        <w:numPr>
          <w:ilvl w:val="0"/>
          <w:numId w:val="1002"/>
        </w:numPr>
      </w:pPr>
      <w:r>
        <w:t xml:space="preserve">Are logistics and energy surcharges being accepted quickly enough?</w:t>
      </w:r>
    </w:p>
    <w:p>
      <w:pPr>
        <w:pStyle w:val="Compact"/>
        <w:numPr>
          <w:ilvl w:val="0"/>
          <w:numId w:val="1002"/>
        </w:numPr>
      </w:pPr>
      <w:r>
        <w:t xml:space="preserve">Is commodity Fragrance Ingredients still deteriorating in volume and price?</w:t>
      </w:r>
    </w:p>
    <w:p>
      <w:pPr>
        <w:pStyle w:val="FirstParagraph"/>
      </w:pPr>
      <w:r>
        <w:t xml:space="preserve">A contained Scent miss paired with intact full-year guidance would likely be manageable. A broader deterioration in Fine Fragrance or a weaker outlook for price recovery would be more concerning.</w:t>
      </w:r>
    </w:p>
    <w:bookmarkEnd w:id="12"/>
    <w:bookmarkStart w:id="13" w:name="Xc583ae414d708762d2784b10f7916e9ab3439de"/>
    <w:p>
      <w:pPr>
        <w:pStyle w:val="Heading3"/>
      </w:pPr>
      <w:r>
        <w:t xml:space="preserve">2. Pricing recovery versus inflation will determine the shape of 2H</w:t>
      </w:r>
    </w:p>
    <w:p>
      <w:pPr>
        <w:pStyle w:val="FirstParagraph"/>
      </w:pPr>
      <w:r>
        <w:t xml:space="preserve">IFF said Q2 would absorb the initial cost shock from higher energy and logistics before its pricing actions are fully implemented. Management expects that pressure to ease through the second half as surcharges and broader price actions take effect.</w:t>
      </w:r>
    </w:p>
    <w:p>
      <w:pPr>
        <w:pStyle w:val="BodyText"/>
      </w:pPr>
      <w:r>
        <w:t xml:space="preserve">This makes the earnings call especially important. Investors should listen for:</w:t>
      </w:r>
    </w:p>
    <w:p>
      <w:pPr>
        <w:pStyle w:val="Compact"/>
        <w:numPr>
          <w:ilvl w:val="0"/>
          <w:numId w:val="1003"/>
        </w:numPr>
      </w:pPr>
      <w:r>
        <w:t xml:space="preserve">The pace of surcharge implementation by region and business;</w:t>
      </w:r>
    </w:p>
    <w:p>
      <w:pPr>
        <w:pStyle w:val="Compact"/>
        <w:numPr>
          <w:ilvl w:val="0"/>
          <w:numId w:val="1003"/>
        </w:numPr>
      </w:pPr>
      <w:r>
        <w:t xml:space="preserve">Evidence that the company can preserve its historical ability to pass through inflation;</w:t>
      </w:r>
    </w:p>
    <w:p>
      <w:pPr>
        <w:pStyle w:val="Compact"/>
        <w:numPr>
          <w:ilvl w:val="0"/>
          <w:numId w:val="1003"/>
        </w:numPr>
      </w:pPr>
      <w:r>
        <w:t xml:space="preserve">Any upward revision to raw-material inflation assumptions;</w:t>
      </w:r>
    </w:p>
    <w:p>
      <w:pPr>
        <w:pStyle w:val="Compact"/>
        <w:numPr>
          <w:ilvl w:val="0"/>
          <w:numId w:val="1003"/>
        </w:numPr>
      </w:pPr>
      <w:r>
        <w:t xml:space="preserve">Whether pricing recovery is now expected mainly in late 2026 or slips into 2027.</w:t>
      </w:r>
    </w:p>
    <w:p>
      <w:pPr>
        <w:pStyle w:val="FirstParagraph"/>
      </w:pPr>
      <w:r>
        <w:t xml:space="preserve">IFF’s full-year plan still assumes pricing and productivity can offset the inflation challenge, but the Q2 result will show the size of the temporary margin trough.</w:t>
      </w:r>
    </w:p>
    <w:bookmarkEnd w:id="13"/>
    <w:bookmarkStart w:id="14" w:name="X61f67e1071b9646ce56b25a5b7d8e67449d906b"/>
    <w:p>
      <w:pPr>
        <w:pStyle w:val="Heading3"/>
      </w:pPr>
      <w:r>
        <w:t xml:space="preserve">3. Food Ingredients sale has become the central strategic catalyst</w:t>
      </w:r>
    </w:p>
    <w:p>
      <w:pPr>
        <w:pStyle w:val="FirstParagraph"/>
      </w:pPr>
      <w:r>
        <w:t xml:space="preserve">In June, IFF disclosed a signed agreement to sell the Food Ingredients business. The company expects roughly</w:t>
      </w:r>
      <w:r>
        <w:t xml:space="preserve"> </w:t>
      </w:r>
      <w:r>
        <w:rPr>
          <w:b/>
          <w:bCs/>
        </w:rPr>
        <w:t xml:space="preserve">$3.8 billion in net cash proceeds</w:t>
      </w:r>
      <w:r>
        <w:t xml:space="preserve">, with closing expected by the end of</w:t>
      </w:r>
      <w:r>
        <w:t xml:space="preserve"> </w:t>
      </w:r>
      <w:r>
        <w:rPr>
          <w:b/>
          <w:bCs/>
        </w:rPr>
        <w:t xml:space="preserve">Q2 2027</w:t>
      </w:r>
      <w:r>
        <w:t xml:space="preserve">. Its related $1 billion delayed-draw term loan is intended to refinance €800 million of notes due in September 2026; proceeds from the Food Ingredients sale are required to prepay the facility.</w:t>
      </w:r>
    </w:p>
    <w:p>
      <w:pPr>
        <w:pStyle w:val="BodyText"/>
      </w:pPr>
      <w:r>
        <w:t xml:space="preserve">This is strategically significant:</w:t>
      </w:r>
    </w:p>
    <w:p>
      <w:pPr>
        <w:pStyle w:val="Compact"/>
        <w:numPr>
          <w:ilvl w:val="0"/>
          <w:numId w:val="1004"/>
        </w:numPr>
      </w:pPr>
      <w:r>
        <w:t xml:space="preserve">It would complete IFF’s shift toward a more focused portfolio centered on</w:t>
      </w:r>
      <w:r>
        <w:t xml:space="preserve"> </w:t>
      </w:r>
      <w:r>
        <w:rPr>
          <w:b/>
          <w:bCs/>
        </w:rPr>
        <w:t xml:space="preserve">Taste, Scent, and Health &amp; Biosciences</w:t>
      </w:r>
      <w:r>
        <w:t xml:space="preserve">.</w:t>
      </w:r>
    </w:p>
    <w:p>
      <w:pPr>
        <w:pStyle w:val="Compact"/>
        <w:numPr>
          <w:ilvl w:val="0"/>
          <w:numId w:val="1004"/>
        </w:numPr>
      </w:pPr>
      <w:r>
        <w:t xml:space="preserve">It provides a potentially material deleveraging opportunity, although IFF was already at its stated</w:t>
      </w:r>
      <w:r>
        <w:t xml:space="preserve"> </w:t>
      </w:r>
      <w:r>
        <w:rPr>
          <w:b/>
          <w:bCs/>
        </w:rPr>
        <w:t xml:space="preserve">2.5x net leverage</w:t>
      </w:r>
      <w:r>
        <w:t xml:space="preserve"> </w:t>
      </w:r>
      <w:r>
        <w:t xml:space="preserve">target at Q1.</w:t>
      </w:r>
    </w:p>
    <w:p>
      <w:pPr>
        <w:pStyle w:val="Compact"/>
        <w:numPr>
          <w:ilvl w:val="0"/>
          <w:numId w:val="1004"/>
        </w:numPr>
      </w:pPr>
      <w:r>
        <w:t xml:space="preserve">It raises the prospect of greater buyback capacity, but management has emphasized discipline: preserving balance-sheet strength, funding high-return organic investment, and selectively pursuing bolt-on opportunities.</w:t>
      </w:r>
    </w:p>
    <w:p>
      <w:pPr>
        <w:pStyle w:val="FirstParagraph"/>
      </w:pPr>
      <w:r>
        <w:t xml:space="preserve">The Q2 report may or may not disclose the buyer or headline enterprise value, but investors should expect more detail on economics, timetable, regulatory approvals, transition services, and expected stranded costs.</w:t>
      </w:r>
    </w:p>
    <w:bookmarkEnd w:id="14"/>
    <w:bookmarkStart w:id="15" w:name="Xab9dedb2209de70eab953665b79779a2429cf74"/>
    <w:p>
      <w:pPr>
        <w:pStyle w:val="Heading3"/>
      </w:pPr>
      <w:r>
        <w:t xml:space="preserve">4. Health &amp; Biosciences needs evidence that the 2027 story remains intact</w:t>
      </w:r>
    </w:p>
    <w:p>
      <w:pPr>
        <w:pStyle w:val="FirstParagraph"/>
      </w:pPr>
      <w:r>
        <w:t xml:space="preserve">Q1 Health &amp; Biosciences was strong overall, led by Animal Nutrition and Food Biosciences. However, the company has repeatedly identified its health business—particularly probiotics—as an area that requires commercial and innovation improvement.</w:t>
      </w:r>
    </w:p>
    <w:p>
      <w:pPr>
        <w:pStyle w:val="BodyText"/>
      </w:pPr>
      <w:r>
        <w:t xml:space="preserve">Management’s stated framework has been:</w:t>
      </w:r>
    </w:p>
    <w:p>
      <w:pPr>
        <w:pStyle w:val="Compact"/>
        <w:numPr>
          <w:ilvl w:val="0"/>
          <w:numId w:val="1005"/>
        </w:numPr>
      </w:pPr>
      <w:r>
        <w:t xml:space="preserve">first half of 2026: roughly flat health performance;</w:t>
      </w:r>
    </w:p>
    <w:p>
      <w:pPr>
        <w:pStyle w:val="Compact"/>
        <w:numPr>
          <w:ilvl w:val="0"/>
          <w:numId w:val="1005"/>
        </w:numPr>
      </w:pPr>
      <w:r>
        <w:t xml:space="preserve">second half of 2026: return to growth;</w:t>
      </w:r>
    </w:p>
    <w:p>
      <w:pPr>
        <w:pStyle w:val="Compact"/>
        <w:numPr>
          <w:ilvl w:val="0"/>
          <w:numId w:val="1005"/>
        </w:numPr>
      </w:pPr>
      <w:r>
        <w:t xml:space="preserve">2027: more meaningful acceleration as commercial and innovation investments mature.</w:t>
      </w:r>
    </w:p>
    <w:p>
      <w:pPr>
        <w:pStyle w:val="FirstParagraph"/>
      </w:pPr>
      <w:r>
        <w:t xml:space="preserve">The Q2 read-through matters less for immediate earnings than for confidence in that medium-term growth algorithm. Any evidence of improving order pipelines, customer wins, or new-product traction would help validate the thesis.</w:t>
      </w:r>
    </w:p>
    <w:bookmarkEnd w:id="15"/>
    <w:bookmarkEnd w:id="16"/>
    <w:bookmarkStart w:id="17" w:name="guidance-the-key-binary"/>
    <w:p>
      <w:pPr>
        <w:pStyle w:val="Heading2"/>
      </w:pPr>
      <w:r>
        <w:t xml:space="preserve">Guidance: the key binary</w:t>
      </w:r>
    </w:p>
    <w:p>
      <w:pPr>
        <w:pStyle w:val="FirstParagraph"/>
      </w:pPr>
      <w:r>
        <w:t xml:space="preserve">IFF reaffirmed full-year 2026 guidance in May: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w:t>
            </w:r>
          </w:p>
        </w:tc>
        <w:tc>
          <w:tcPr/>
          <w:p>
            <w:pPr>
              <w:pStyle w:val="Compact"/>
              <w:jc w:val="right"/>
            </w:pPr>
            <w:r>
              <w:t xml:space="preserve">Range</w:t>
            </w:r>
          </w:p>
        </w:tc>
      </w:tr>
      <w:tr>
        <w:tc>
          <w:tcPr/>
          <w:p>
            <w:pPr>
              <w:pStyle w:val="Compact"/>
            </w:pPr>
            <w:r>
              <w:t xml:space="preserve">Sales</w:t>
            </w:r>
          </w:p>
        </w:tc>
        <w:tc>
          <w:tcPr/>
          <w:p>
            <w:pPr>
              <w:pStyle w:val="Compact"/>
              <w:jc w:val="right"/>
            </w:pPr>
            <m:oMath>
              <m:r>
                <m:t>10.5</m:t>
              </m:r>
              <m:r>
                <m:t>B</m:t>
              </m:r>
              <m:r>
                <m:rPr>
                  <m:sty m:val="p"/>
                </m:rPr>
                <m:t>–</m:t>
              </m:r>
            </m:oMath>
            <w:r>
              <w:rPr>
                <w:b/>
                <w:bCs/>
              </w:rPr>
              <w:t xml:space="preserve">10.8B</w:t>
            </w:r>
          </w:p>
        </w:tc>
      </w:tr>
      <w:tr>
        <w:tc>
          <w:tcPr/>
          <w:p>
            <w:pPr>
              <w:pStyle w:val="Compact"/>
            </w:pPr>
            <w:r>
              <w:t xml:space="preserve">Comparable currency-neutral sales growth</w:t>
            </w:r>
          </w:p>
        </w:tc>
        <w:tc>
          <w:tcPr/>
          <w:p>
            <w:pPr>
              <w:pStyle w:val="Compact"/>
              <w:jc w:val="right"/>
            </w:pPr>
            <w:r>
              <w:rPr>
                <w:b/>
                <w:bCs/>
              </w:rPr>
              <w:t xml:space="preserve">+1% to +4%</w:t>
            </w:r>
          </w:p>
        </w:tc>
      </w:tr>
      <w:tr>
        <w:tc>
          <w:tcPr/>
          <w:p>
            <w:pPr>
              <w:pStyle w:val="Compact"/>
            </w:pPr>
            <w:r>
              <w:t xml:space="preserve">Adjusted operating EBITDA</w:t>
            </w:r>
          </w:p>
        </w:tc>
        <w:tc>
          <w:tcPr/>
          <w:p>
            <w:pPr>
              <w:pStyle w:val="Compact"/>
              <w:jc w:val="right"/>
            </w:pPr>
            <m:oMath>
              <m:r>
                <m:t>2.05</m:t>
              </m:r>
              <m:r>
                <m:t>B</m:t>
              </m:r>
              <m:r>
                <m:rPr>
                  <m:sty m:val="p"/>
                </m:rPr>
                <m:t>–</m:t>
              </m:r>
            </m:oMath>
            <w:r>
              <w:rPr>
                <w:b/>
                <w:bCs/>
              </w:rPr>
              <w:t xml:space="preserve">2.15B</w:t>
            </w:r>
          </w:p>
        </w:tc>
      </w:tr>
      <w:tr>
        <w:tc>
          <w:tcPr/>
          <w:p>
            <w:pPr>
              <w:pStyle w:val="Compact"/>
            </w:pPr>
            <w:r>
              <w:t xml:space="preserve">Comparable currency-neutral EBITDA growth</w:t>
            </w:r>
          </w:p>
        </w:tc>
        <w:tc>
          <w:tcPr/>
          <w:p>
            <w:pPr>
              <w:pStyle w:val="Compact"/>
              <w:jc w:val="right"/>
            </w:pPr>
            <w:r>
              <w:rPr>
                <w:b/>
                <w:bCs/>
              </w:rPr>
              <w:t xml:space="preserve">+3% to +8%</w:t>
            </w:r>
          </w:p>
        </w:tc>
      </w:tr>
      <w:tr>
        <w:tc>
          <w:tcPr/>
          <w:p>
            <w:pPr>
              <w:pStyle w:val="Compact"/>
            </w:pPr>
            <w:r>
              <w:t xml:space="preserve">FX impact on sales growth</w:t>
            </w:r>
          </w:p>
        </w:tc>
        <w:tc>
          <w:tcPr/>
          <w:p>
            <w:pPr>
              <w:pStyle w:val="Compact"/>
              <w:jc w:val="right"/>
            </w:pPr>
            <w:r>
              <w:t xml:space="preserve">Approximately</w:t>
            </w:r>
            <w:r>
              <w:t xml:space="preserve"> </w:t>
            </w:r>
            <w:r>
              <w:rPr>
                <w:b/>
                <w:bCs/>
              </w:rPr>
              <w:t xml:space="preserve">+1 pt</w:t>
            </w:r>
          </w:p>
        </w:tc>
      </w:tr>
      <w:tr>
        <w:tc>
          <w:tcPr/>
          <w:p>
            <w:pPr>
              <w:pStyle w:val="Compact"/>
            </w:pPr>
            <w:r>
              <w:t xml:space="preserve">Divestiture impact on sales and EBITDA growth</w:t>
            </w:r>
          </w:p>
        </w:tc>
        <w:tc>
          <w:tcPr/>
          <w:p>
            <w:pPr>
              <w:pStyle w:val="Compact"/>
              <w:jc w:val="right"/>
            </w:pPr>
            <w:r>
              <w:t xml:space="preserve">Approximately</w:t>
            </w:r>
            <w:r>
              <w:t xml:space="preserve"> </w:t>
            </w:r>
            <w:r>
              <w:rPr>
                <w:b/>
                <w:bCs/>
              </w:rPr>
              <w:t xml:space="preserve">-5 pts</w:t>
            </w:r>
          </w:p>
        </w:tc>
      </w:tr>
    </w:tbl>
    <w:p>
      <w:pPr>
        <w:pStyle w:val="BodyText"/>
      </w:pPr>
      <w:r>
        <w:t xml:space="preserve">Maintaining that guidance after a softer Q2 would be constructive, but investors will need to judge how much of the recovery is pushed into the second half. The bull case is that Q1 outperformance, productivity, and progressively effective pricing more than compensate for a temporary Q2 Scent and cost headwind. The bear case is that weak Fine Fragrance, delayed price realization, and commodity fragrance pressure cause the recovery to become too back-half weighted.</w:t>
      </w:r>
    </w:p>
    <w:bookmarkEnd w:id="17"/>
    <w:bookmarkStart w:id="18" w:name="cash-flow-and-capital-allocation"/>
    <w:p>
      <w:pPr>
        <w:pStyle w:val="Heading2"/>
      </w:pPr>
      <w:r>
        <w:t xml:space="preserve">Cash flow and capital allocation</w:t>
      </w:r>
    </w:p>
    <w:p>
      <w:pPr>
        <w:pStyle w:val="FirstParagraph"/>
      </w:pPr>
      <w:r>
        <w:t xml:space="preserve">IFF’s balance sheet is materially improved from prior years. In Q1, gross debt was $5.85 billion, cash was $562 million, and net leverage was 2.5x. Free cash flow improved sharply year over year, although Q1’s $92 million remained modest in absolute terms given seasonality and working-capital demands.</w:t>
      </w:r>
    </w:p>
    <w:p>
      <w:pPr>
        <w:pStyle w:val="BodyText"/>
      </w:pPr>
      <w:r>
        <w:t xml:space="preserve">Watch for:</w:t>
      </w:r>
    </w:p>
    <w:p>
      <w:pPr>
        <w:pStyle w:val="Compact"/>
        <w:numPr>
          <w:ilvl w:val="0"/>
          <w:numId w:val="1006"/>
        </w:numPr>
      </w:pPr>
      <w:r>
        <w:t xml:space="preserve">A refreshed free-cash-flow outlook after the first half;</w:t>
      </w:r>
    </w:p>
    <w:p>
      <w:pPr>
        <w:pStyle w:val="Compact"/>
        <w:numPr>
          <w:ilvl w:val="0"/>
          <w:numId w:val="1006"/>
        </w:numPr>
      </w:pPr>
      <w:r>
        <w:t xml:space="preserve">Working-capital progress, especially inventory;</w:t>
      </w:r>
    </w:p>
    <w:p>
      <w:pPr>
        <w:pStyle w:val="Compact"/>
        <w:numPr>
          <w:ilvl w:val="0"/>
          <w:numId w:val="1006"/>
        </w:numPr>
      </w:pPr>
      <w:r>
        <w:t xml:space="preserve">Any change in dividend or repurchase posture;</w:t>
      </w:r>
    </w:p>
    <w:p>
      <w:pPr>
        <w:pStyle w:val="Compact"/>
        <w:numPr>
          <w:ilvl w:val="0"/>
          <w:numId w:val="1006"/>
        </w:numPr>
      </w:pPr>
      <w:r>
        <w:t xml:space="preserve">The expected use of Food Ingredients proceeds;</w:t>
      </w:r>
    </w:p>
    <w:p>
      <w:pPr>
        <w:pStyle w:val="Compact"/>
        <w:numPr>
          <w:ilvl w:val="0"/>
          <w:numId w:val="1006"/>
        </w:numPr>
      </w:pPr>
      <w:r>
        <w:t xml:space="preserve">Whether refinancing costs or interest expense alter the 2026 cash outlook.</w:t>
      </w:r>
    </w:p>
    <w:bookmarkEnd w:id="18"/>
    <w:bookmarkStart w:id="19" w:name="market-setup"/>
    <w:p>
      <w:pPr>
        <w:pStyle w:val="Heading2"/>
      </w:pPr>
      <w:r>
        <w:t xml:space="preserve">Market setup</w:t>
      </w:r>
    </w:p>
    <w:p>
      <w:pPr>
        <w:pStyle w:val="FirstParagraph"/>
      </w:pPr>
      <w:r>
        <w:t xml:space="preserve">IFF closed at</w:t>
      </w:r>
      <w:r>
        <w:t xml:space="preserve"> </w:t>
      </w:r>
      <w:r>
        <w:rPr>
          <w:b/>
          <w:bCs/>
        </w:rPr>
        <w:t xml:space="preserve">$80.60 on August 3</w:t>
      </w:r>
      <w:r>
        <w:t xml:space="preserve">, up about</w:t>
      </w:r>
      <w:r>
        <w:t xml:space="preserve"> </w:t>
      </w:r>
      <w:r>
        <w:rPr>
          <w:b/>
          <w:bCs/>
        </w:rPr>
        <w:t xml:space="preserve">13.9%</w:t>
      </w:r>
      <w:r>
        <w:t xml:space="preserve"> </w:t>
      </w:r>
      <w:r>
        <w:t xml:space="preserve">since the May 5 Q1 release and roughly</w:t>
      </w:r>
      <w:r>
        <w:t xml:space="preserve"> </w:t>
      </w:r>
      <w:r>
        <w:rPr>
          <w:b/>
          <w:bCs/>
        </w:rPr>
        <w:t xml:space="preserve">18.5% year to date</w:t>
      </w:r>
      <w:r>
        <w:t xml:space="preserve">. It remains about</w:t>
      </w:r>
      <w:r>
        <w:t xml:space="preserve"> </w:t>
      </w:r>
      <w:r>
        <w:rPr>
          <w:b/>
          <w:bCs/>
        </w:rPr>
        <w:t xml:space="preserve">3.9% below</w:t>
      </w:r>
      <w:r>
        <w:t xml:space="preserve"> </w:t>
      </w:r>
      <w:r>
        <w:t xml:space="preserve">its July 2 closing high of $83.83.</w:t>
      </w:r>
    </w:p>
    <w:p>
      <w:pPr>
        <w:pStyle w:val="BodyText"/>
      </w:pPr>
      <w:r>
        <w:t xml:space="preserve">That performance suggests the market has already rewarded the Q1 execution improvement and the clearer portfolio path. As a result, simply meeting a lowered Q2 cadence may not be sufficient: investors are likely looking for reassurance that the second-half improvement, Food Ingredients transaction, and longer-term Health &amp; Biosciences recovery remain on track.</w:t>
      </w:r>
    </w:p>
    <w:bookmarkEnd w:id="19"/>
    <w:bookmarkStart w:id="20" w:name="what-would-constitute-a-positive-report"/>
    <w:p>
      <w:pPr>
        <w:pStyle w:val="Heading2"/>
      </w:pPr>
      <w:r>
        <w:t xml:space="preserve">What would constitute a positive report</w:t>
      </w:r>
    </w:p>
    <w:p>
      <w:pPr>
        <w:pStyle w:val="Compact"/>
        <w:numPr>
          <w:ilvl w:val="0"/>
          <w:numId w:val="1007"/>
        </w:numPr>
      </w:pPr>
      <w:r>
        <w:t xml:space="preserve">Full-year sales and EBITDA guidance</w:t>
      </w:r>
      <w:r>
        <w:t xml:space="preserve"> </w:t>
      </w:r>
      <w:r>
        <w:rPr>
          <w:b/>
          <w:bCs/>
        </w:rPr>
        <w:t xml:space="preserve">reaffirmed</w:t>
      </w:r>
      <w:r>
        <w:t xml:space="preserve">, with a credible explanation of second-half recovery.</w:t>
      </w:r>
    </w:p>
    <w:p>
      <w:pPr>
        <w:pStyle w:val="Compact"/>
        <w:numPr>
          <w:ilvl w:val="0"/>
          <w:numId w:val="1007"/>
        </w:numPr>
      </w:pPr>
      <w:r>
        <w:t xml:space="preserve">Q2 EBITDA decline contained broadly in line with management’s prior qualitative framing.</w:t>
      </w:r>
    </w:p>
    <w:p>
      <w:pPr>
        <w:pStyle w:val="Compact"/>
        <w:numPr>
          <w:ilvl w:val="0"/>
          <w:numId w:val="1007"/>
        </w:numPr>
      </w:pPr>
      <w:r>
        <w:t xml:space="preserve">Stronger-than-feared Fine Fragrance trends or confirmation that Middle East disruption is temporary.</w:t>
      </w:r>
    </w:p>
    <w:p>
      <w:pPr>
        <w:pStyle w:val="Compact"/>
        <w:numPr>
          <w:ilvl w:val="0"/>
          <w:numId w:val="1007"/>
        </w:numPr>
      </w:pPr>
      <w:r>
        <w:t xml:space="preserve">Clear evidence of pricing/surcharge traction and no material worsening in raw-material inflation.</w:t>
      </w:r>
    </w:p>
    <w:p>
      <w:pPr>
        <w:pStyle w:val="Compact"/>
        <w:numPr>
          <w:ilvl w:val="0"/>
          <w:numId w:val="1007"/>
        </w:numPr>
      </w:pPr>
      <w:r>
        <w:t xml:space="preserve">Healthy Taste and Food Ingredients execution.</w:t>
      </w:r>
    </w:p>
    <w:p>
      <w:pPr>
        <w:pStyle w:val="Compact"/>
        <w:numPr>
          <w:ilvl w:val="0"/>
          <w:numId w:val="1007"/>
        </w:numPr>
      </w:pPr>
      <w:r>
        <w:t xml:space="preserve">Incremental disclosure on the Food Ingredients buyer, valuation, closing timetable, and proceeds deployment.</w:t>
      </w:r>
    </w:p>
    <w:p>
      <w:pPr>
        <w:pStyle w:val="Compact"/>
        <w:numPr>
          <w:ilvl w:val="0"/>
          <w:numId w:val="1007"/>
        </w:numPr>
      </w:pPr>
      <w:r>
        <w:t xml:space="preserve">Continued free-cash-flow and working-capital improvement.</w:t>
      </w:r>
    </w:p>
    <w:bookmarkEnd w:id="20"/>
    <w:bookmarkStart w:id="21" w:name="what-would-concern-investors"/>
    <w:p>
      <w:pPr>
        <w:pStyle w:val="Heading2"/>
      </w:pPr>
      <w:r>
        <w:t xml:space="preserve">What would concern investors</w:t>
      </w:r>
    </w:p>
    <w:p>
      <w:pPr>
        <w:pStyle w:val="Compact"/>
        <w:numPr>
          <w:ilvl w:val="0"/>
          <w:numId w:val="1008"/>
        </w:numPr>
      </w:pPr>
      <w:r>
        <w:t xml:space="preserve">A guidance cut driven by Scent, delayed pricing, or weakened consumer demand.</w:t>
      </w:r>
    </w:p>
    <w:p>
      <w:pPr>
        <w:pStyle w:val="Compact"/>
        <w:numPr>
          <w:ilvl w:val="0"/>
          <w:numId w:val="1008"/>
        </w:numPr>
      </w:pPr>
      <w:r>
        <w:t xml:space="preserve">Fine Fragrance weakness extending beyond Q2 or spreading into other regions.</w:t>
      </w:r>
    </w:p>
    <w:p>
      <w:pPr>
        <w:pStyle w:val="Compact"/>
        <w:numPr>
          <w:ilvl w:val="0"/>
          <w:numId w:val="1008"/>
        </w:numPr>
      </w:pPr>
      <w:r>
        <w:t xml:space="preserve">Larger-than-expected commodity Fragrance Ingredients declines.</w:t>
      </w:r>
    </w:p>
    <w:p>
      <w:pPr>
        <w:pStyle w:val="Compact"/>
        <w:numPr>
          <w:ilvl w:val="0"/>
          <w:numId w:val="1008"/>
        </w:numPr>
      </w:pPr>
      <w:r>
        <w:t xml:space="preserve">Health remaining weak without evidence that the commercial turnaround is gaining traction.</w:t>
      </w:r>
    </w:p>
    <w:p>
      <w:pPr>
        <w:pStyle w:val="Compact"/>
        <w:numPr>
          <w:ilvl w:val="0"/>
          <w:numId w:val="1008"/>
        </w:numPr>
      </w:pPr>
      <w:r>
        <w:t xml:space="preserve">Ambiguous or unfavorable Food Ingredients transaction economics, significant stranded costs, or a delayed closing path.</w:t>
      </w:r>
    </w:p>
    <w:p>
      <w:pPr>
        <w:pStyle w:val="Compact"/>
        <w:numPr>
          <w:ilvl w:val="0"/>
          <w:numId w:val="1008"/>
        </w:numPr>
      </w:pPr>
      <w:r>
        <w:t xml:space="preserve">Cash conversion deterioration despite management’s emphasis on working capital and free cash flow.</w:t>
      </w:r>
    </w:p>
    <w:bookmarkEnd w:id="21"/>
    <w:bookmarkStart w:id="22" w:name="key-questions-for-the-call"/>
    <w:p>
      <w:pPr>
        <w:pStyle w:val="Heading2"/>
      </w:pPr>
      <w:r>
        <w:t xml:space="preserve">Key questions for the call</w:t>
      </w:r>
    </w:p>
    <w:p>
      <w:pPr>
        <w:pStyle w:val="Compact"/>
        <w:numPr>
          <w:ilvl w:val="0"/>
          <w:numId w:val="1009"/>
        </w:numPr>
      </w:pPr>
      <w:r>
        <w:t xml:space="preserve">How much did Fine Fragrance sales and EBITDA decline in Q2, and what is the July exit rate?</w:t>
      </w:r>
    </w:p>
    <w:p>
      <w:pPr>
        <w:pStyle w:val="Compact"/>
        <w:numPr>
          <w:ilvl w:val="0"/>
          <w:numId w:val="1009"/>
        </w:numPr>
      </w:pPr>
      <w:r>
        <w:t xml:space="preserve">What percentage of energy and logistics surcharges has been implemented, and when should price-cost turn favorable?</w:t>
      </w:r>
    </w:p>
    <w:p>
      <w:pPr>
        <w:pStyle w:val="Compact"/>
        <w:numPr>
          <w:ilvl w:val="0"/>
          <w:numId w:val="1009"/>
        </w:numPr>
      </w:pPr>
      <w:r>
        <w:t xml:space="preserve">Does management still expect sequential EBITDA improvement in the second half?</w:t>
      </w:r>
    </w:p>
    <w:p>
      <w:pPr>
        <w:pStyle w:val="Compact"/>
        <w:numPr>
          <w:ilvl w:val="0"/>
          <w:numId w:val="1009"/>
        </w:numPr>
      </w:pPr>
      <w:r>
        <w:t xml:space="preserve">Has the Food Ingredients buyer been identified, and what are the sale’s headline economics and required approvals?</w:t>
      </w:r>
    </w:p>
    <w:p>
      <w:pPr>
        <w:pStyle w:val="Compact"/>
        <w:numPr>
          <w:ilvl w:val="0"/>
          <w:numId w:val="1009"/>
        </w:numPr>
      </w:pPr>
      <w:r>
        <w:t xml:space="preserve">How will the anticipated $3.8 billion of net proceeds be allocated among debt reduction, share repurchases, organic investment, and M&amp;A?</w:t>
      </w:r>
    </w:p>
    <w:p>
      <w:pPr>
        <w:pStyle w:val="Compact"/>
        <w:numPr>
          <w:ilvl w:val="0"/>
          <w:numId w:val="1009"/>
        </w:numPr>
      </w:pPr>
      <w:r>
        <w:t xml:space="preserve">What is the updated outlook for Health, probiotics, and North American customer demand?</w:t>
      </w:r>
    </w:p>
    <w:p>
      <w:pPr>
        <w:pStyle w:val="Compact"/>
        <w:numPr>
          <w:ilvl w:val="0"/>
          <w:numId w:val="1009"/>
        </w:numPr>
      </w:pPr>
      <w:r>
        <w:t xml:space="preserve">Are Taste’s Q1 margins sustainable after unusually strong pricing/productivity leverage?</w:t>
      </w:r>
    </w:p>
    <w:p>
      <w:pPr>
        <w:pStyle w:val="Compact"/>
        <w:numPr>
          <w:ilvl w:val="0"/>
          <w:numId w:val="1009"/>
        </w:numPr>
      </w:pPr>
      <w:r>
        <w:t xml:space="preserve">What is the expected 2026 free-cash-flow improvement now that Q2 results and refinancing plans are clearer?</w:t>
      </w:r>
    </w:p>
    <w:p>
      <w:pPr>
        <w:pStyle w:val="FirstParagraph"/>
      </w:pPr>
      <w:r>
        <w:rPr>
          <w:b/>
          <w:bCs/>
        </w:rPr>
        <w:t xml:space="preserve">Investment view into the print:</w:t>
      </w:r>
      <w:r>
        <w:t xml:space="preserve"> </w:t>
      </w:r>
      <w:r>
        <w:t xml:space="preserve">IFF’s Q2 is primarily a</w:t>
      </w:r>
      <w:r>
        <w:t xml:space="preserve"> </w:t>
      </w:r>
      <w:r>
        <w:rPr>
          <w:b/>
          <w:bCs/>
        </w:rPr>
        <w:t xml:space="preserve">confidence test</w:t>
      </w:r>
      <w:r>
        <w:t xml:space="preserve"> </w:t>
      </w:r>
      <w:r>
        <w:t xml:space="preserve">rather than a pure beat-or-miss quarter. The report needs to show that the expected Q2 EBITDA trough is temporary, that price-cost recovery is underway, and that the Food Ingredients sale will unlock value without creating an overly complicated or cash-consuming transition.</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2026-08-04T01:59:29Z</dcterms:created>
  <dcterms:modified xsi:type="dcterms:W3CDTF">2026-08-04T01:59:29Z</dcterms:modified>
</cp:coreProperties>
</file>

<file path=docProps/custom.xml><?xml version="1.0" encoding="utf-8"?>
<Properties xmlns="http://schemas.openxmlformats.org/officeDocument/2006/custom-properties" xmlns:vt="http://schemas.openxmlformats.org/officeDocument/2006/docPropsVTypes"/>
</file>