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IFF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International Flavors &amp; Fragrances Inc. (IFF)</w:t>
            </w:r>
          </w:p>
        </w:tc>
      </w:tr>
      <w:tr>
        <w:tc>
          <w:tcPr>
            <w:tcW w:type="dxa" w:w="4320"/>
          </w:tcPr>
          <w:p>
            <w:r>
              <w:rPr>
                <w:rFonts w:ascii="Calibri" w:hAnsi="Calibri"/>
                <w:b/>
                <w:sz w:val="22"/>
              </w:rPr>
              <w:t>Upcoming Earnings Date</w:t>
            </w:r>
          </w:p>
        </w:tc>
        <w:tc>
          <w:tcPr>
            <w:tcW w:type="dxa" w:w="4320"/>
          </w:tcPr>
          <w:p>
            <w:r>
              <w:rPr>
                <w:rFonts w:ascii="Calibri" w:hAnsi="Calibri"/>
                <w:sz w:val="22"/>
              </w:rPr>
              <w:t>August 4,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3, 2026</w:t>
            </w:r>
          </w:p>
        </w:tc>
      </w:tr>
      <w:tr>
        <w:tc>
          <w:tcPr>
            <w:tcW w:type="dxa" w:w="4320"/>
          </w:tcPr>
          <w:p>
            <w:r>
              <w:rPr>
                <w:rFonts w:ascii="Calibri" w:hAnsi="Calibri"/>
                <w:b/>
                <w:sz w:val="22"/>
              </w:rPr>
              <w:t>Sector / ETF Benchmark</w:t>
            </w:r>
          </w:p>
        </w:tc>
        <w:tc>
          <w:tcPr>
            <w:tcW w:type="dxa" w:w="4320"/>
          </w:tcPr>
          <w:p>
            <w:r>
              <w:rPr>
                <w:rFonts w:ascii="Calibri" w:hAnsi="Calibri"/>
                <w:sz w:val="22"/>
              </w:rPr>
              <w:t>Specialty Chemicals / XLB (Materials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mixed — consensus has been revised down since Q1 earnings, creating a potentially beatable bar on EBITDA, but the Middle East headwind and fine fragrance mix weakness are the key swing factors that could determine whether IFF meets or misses on the top line.</w:t>
      </w:r>
    </w:p>
    <w:p>
      <w:r>
        <w:rPr>
          <w:rFonts w:ascii="Calibri" w:hAnsi="Calibri"/>
          <w:color w:val="525866"/>
          <w:sz w:val="22"/>
        </w:rPr>
        <w:t xml:space="preserve">Heading into Q2 2026, IFF faces a deliberately guided-down quarter: management explicitly flagged at Q1 earnings that absolute EBITDA dollars would be lower than Q1's $568M, citing lower volume, unfavorable price-to-input costs from rising energy and logistics inflation, and fine fragrance softness tied to the Middle East conflict. Consensus has adjusted accordingly, with Q2 EBITDA estimates sitting at ~$516M (as of May 12, 2026 baseline) and the current estimate at ~$516M — essentially flat, suggesting the street has already priced in the guided-down quarter. </w:t>
      </w:r>
      <w:r>
        <w:rPr>
          <w:rFonts w:ascii="Calibri" w:hAnsi="Calibri"/>
          <w:b/>
          <w:color w:val="525866"/>
          <w:sz w:val="22"/>
        </w:rPr>
        <w:t>The bar on EBITDA is manageable</w:t>
      </w:r>
      <w:r>
        <w:rPr>
          <w:rFonts w:ascii="Calibri" w:hAnsi="Calibri"/>
          <w:color w:val="525866"/>
          <w:sz w:val="22"/>
        </w:rPr>
        <w:t xml:space="preserve">, but the revenue line (~$2.61B consensus) is the bigger swing factor given uncertainty around fine fragrance volume recovery and the pace of pricing surcharge implementation. The stock has recovered sharply from its Q1 earnings-day close of $70.77, now trading near $80, up ~14% since the print vs. XLB flat and SPY +5% — suggesting the market has already rewarded the Q1 beat and turnaround narrative. </w:t>
      </w:r>
      <w:r>
        <w:rPr>
          <w:rFonts w:ascii="Calibri" w:hAnsi="Calibri"/>
          <w:b/>
          <w:color w:val="525866"/>
          <w:sz w:val="22"/>
        </w:rPr>
        <w:t>The wildcard is the Food Ingredients divestiture update</w:t>
      </w:r>
      <w:r>
        <w:rPr>
          <w:rFonts w:ascii="Calibri" w:hAnsi="Calibri"/>
          <w:color w:val="525866"/>
          <w:sz w:val="22"/>
        </w:rPr>
        <w:t>: management promised an update by Q2 earnings, and any announcement of a deal (or lack thereof) could be the single biggest catalyst, independent of the operating results. Peer read-throughs from Givaudan's H1 2026 results are constructive — fine fragrance grew 7.3% LFL and consumer products grew 9.2% — which partially de-risks IFF's Scent segment, though Givaudan also noted Fragrance Ingredients price competition, consistent with IFF's own commentary.</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on EBITDA after management guided Q2 down from Q1's record margin; revenue is the bigger swing factor given Middle East fine fragrance uncertainty. Adjusted EBITDA margin is the most watched KPI — any sequential recovery toward 20%+ would be a positive surprise.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$2.741B</w:t>
            </w:r>
          </w:p>
        </w:tc>
        <w:tc>
          <w:tcPr>
            <w:tcW w:type="dxa" w:w="1234"/>
          </w:tcPr>
          <w:p>
            <w:r>
              <w:rPr>
                <w:rFonts w:ascii="Calibri" w:hAnsi="Calibri"/>
                <w:sz w:val="22"/>
              </w:rPr>
              <w:t>$2.764B</w:t>
            </w:r>
          </w:p>
        </w:tc>
        <w:tc>
          <w:tcPr>
            <w:tcW w:type="dxa" w:w="1234"/>
          </w:tcPr>
          <w:p>
            <w:r>
              <w:rPr>
                <w:rFonts w:ascii="Calibri" w:hAnsi="Calibri"/>
                <w:sz w:val="22"/>
              </w:rPr>
              <w:t>$2.606B</w:t>
            </w:r>
          </w:p>
        </w:tc>
        <w:tc>
          <w:tcPr>
            <w:tcW w:type="dxa" w:w="1234"/>
          </w:tcPr>
          <w:p>
            <w:r>
              <w:rPr>
                <w:rFonts w:ascii="Calibri" w:hAnsi="Calibri"/>
                <w:sz w:val="22"/>
              </w:rPr>
              <w:t>-5.7% YoY</w:t>
            </w:r>
          </w:p>
        </w:tc>
        <w:tc>
          <w:tcPr>
            <w:tcW w:type="dxa" w:w="1234"/>
          </w:tcPr>
          <w:p>
            <w:r>
              <w:rPr>
                <w:rFonts w:ascii="Calibri" w:hAnsi="Calibri"/>
                <w:sz w:val="22"/>
              </w:rPr>
              <w:t>$10.5B–$10.8B</w:t>
            </w:r>
          </w:p>
        </w:tc>
        <w:tc>
          <w:tcPr>
            <w:tcW w:type="dxa" w:w="1234"/>
          </w:tcPr>
          <w:p>
            <w:r>
              <w:rPr>
                <w:rFonts w:ascii="Calibri" w:hAnsi="Calibri"/>
                <w:sz w:val="22"/>
              </w:rPr>
              <w:t>~-2.0% vs. midpoint ($10.65B)</w:t>
            </w:r>
          </w:p>
        </w:tc>
      </w:tr>
      <w:tr>
        <w:tc>
          <w:tcPr>
            <w:tcW w:type="dxa" w:w="1234"/>
          </w:tcPr>
          <w:p>
            <w:r>
              <w:rPr>
                <w:rFonts w:ascii="Calibri" w:hAnsi="Calibri"/>
                <w:sz w:val="22"/>
              </w:rPr>
              <w:t>Adj. Operating EBITDA ($M)</w:t>
            </w:r>
          </w:p>
        </w:tc>
        <w:tc>
          <w:tcPr>
            <w:tcW w:type="dxa" w:w="1234"/>
          </w:tcPr>
          <w:p>
            <w:r>
              <w:rPr>
                <w:rFonts w:ascii="Calibri" w:hAnsi="Calibri"/>
                <w:sz w:val="22"/>
              </w:rPr>
              <w:t>$568M</w:t>
            </w:r>
          </w:p>
        </w:tc>
        <w:tc>
          <w:tcPr>
            <w:tcW w:type="dxa" w:w="1234"/>
          </w:tcPr>
          <w:p>
            <w:r>
              <w:rPr>
                <w:rFonts w:ascii="Calibri" w:hAnsi="Calibri"/>
                <w:sz w:val="22"/>
              </w:rPr>
              <w:t>$552M</w:t>
            </w:r>
          </w:p>
        </w:tc>
        <w:tc>
          <w:tcPr>
            <w:tcW w:type="dxa" w:w="1234"/>
          </w:tcPr>
          <w:p>
            <w:r>
              <w:rPr>
                <w:rFonts w:ascii="Calibri" w:hAnsi="Calibri"/>
                <w:sz w:val="22"/>
              </w:rPr>
              <w:t>$516M</w:t>
            </w:r>
          </w:p>
        </w:tc>
        <w:tc>
          <w:tcPr>
            <w:tcW w:type="dxa" w:w="1234"/>
          </w:tcPr>
          <w:p>
            <w:r>
              <w:rPr>
                <w:rFonts w:ascii="Calibri" w:hAnsi="Calibri"/>
                <w:sz w:val="22"/>
              </w:rPr>
              <w:t>-6.5% YoY</w:t>
            </w:r>
          </w:p>
        </w:tc>
        <w:tc>
          <w:tcPr>
            <w:tcW w:type="dxa" w:w="1234"/>
          </w:tcPr>
          <w:p>
            <w:r>
              <w:rPr>
                <w:rFonts w:ascii="Calibri" w:hAnsi="Calibri"/>
                <w:sz w:val="22"/>
              </w:rPr>
              <w:t>$2.05B–$2.15B</w:t>
            </w:r>
          </w:p>
        </w:tc>
        <w:tc>
          <w:tcPr>
            <w:tcW w:type="dxa" w:w="1234"/>
          </w:tcPr>
          <w:p>
            <w:r>
              <w:rPr>
                <w:rFonts w:ascii="Calibri" w:hAnsi="Calibri"/>
                <w:sz w:val="22"/>
              </w:rPr>
              <w:t>~-2.0% vs. midpoint ($2.10B)</w:t>
            </w:r>
          </w:p>
        </w:tc>
      </w:tr>
      <w:tr>
        <w:tc>
          <w:tcPr>
            <w:tcW w:type="dxa" w:w="1234"/>
          </w:tcPr>
          <w:p>
            <w:r>
              <w:rPr>
                <w:rFonts w:ascii="Calibri" w:hAnsi="Calibri"/>
                <w:sz w:val="22"/>
              </w:rPr>
              <w:t>Adj. EBITDA Margin (%)</w:t>
            </w:r>
          </w:p>
        </w:tc>
        <w:tc>
          <w:tcPr>
            <w:tcW w:type="dxa" w:w="1234"/>
          </w:tcPr>
          <w:p>
            <w:r>
              <w:rPr>
                <w:rFonts w:ascii="Calibri" w:hAnsi="Calibri"/>
                <w:sz w:val="22"/>
              </w:rPr>
              <w:t>20.7%</w:t>
            </w:r>
          </w:p>
        </w:tc>
        <w:tc>
          <w:tcPr>
            <w:tcW w:type="dxa" w:w="1234"/>
          </w:tcPr>
          <w:p>
            <w:r>
              <w:rPr>
                <w:rFonts w:ascii="Calibri" w:hAnsi="Calibri"/>
                <w:sz w:val="22"/>
              </w:rPr>
              <w:t>20.0%</w:t>
            </w:r>
          </w:p>
        </w:tc>
        <w:tc>
          <w:tcPr>
            <w:tcW w:type="dxa" w:w="1234"/>
          </w:tcPr>
          <w:p>
            <w:r>
              <w:rPr>
                <w:rFonts w:ascii="Calibri" w:hAnsi="Calibri"/>
                <w:sz w:val="22"/>
              </w:rPr>
              <w:t>19.9%</w:t>
            </w:r>
          </w:p>
        </w:tc>
        <w:tc>
          <w:tcPr>
            <w:tcW w:type="dxa" w:w="1234"/>
          </w:tcPr>
          <w:p>
            <w:r>
              <w:rPr>
                <w:rFonts w:ascii="Calibri" w:hAnsi="Calibri"/>
                <w:sz w:val="22"/>
              </w:rPr>
              <w:t>-10 bps YoY</w:t>
            </w:r>
          </w:p>
        </w:tc>
        <w:tc>
          <w:tcPr>
            <w:tcW w:type="dxa" w:w="1234"/>
          </w:tcPr>
          <w:p>
            <w:r>
              <w:rPr>
                <w:rFonts w:ascii="Calibri" w:hAnsi="Calibri"/>
                <w:sz w:val="22"/>
              </w:rPr>
              <w:t>Solid margin expansion (3%–8% EBITDA growth)</w:t>
            </w:r>
          </w:p>
        </w:tc>
        <w:tc>
          <w:tcPr>
            <w:tcW w:type="dxa" w:w="1234"/>
          </w:tcPr>
          <w:p>
            <w:r>
              <w:rPr>
                <w:rFonts w:ascii="Calibri" w:hAnsi="Calibri"/>
                <w:sz w:val="22"/>
              </w:rPr>
              <w:t>N/A (derived)</w:t>
            </w:r>
          </w:p>
        </w:tc>
      </w:tr>
      <w:tr>
        <w:tc>
          <w:tcPr>
            <w:tcW w:type="dxa" w:w="1234"/>
          </w:tcPr>
          <w:p>
            <w:r>
              <w:rPr>
                <w:rFonts w:ascii="Calibri" w:hAnsi="Calibri"/>
                <w:sz w:val="22"/>
              </w:rPr>
              <w:t>EPS — Diluted Operating ($)</w:t>
            </w:r>
          </w:p>
        </w:tc>
        <w:tc>
          <w:tcPr>
            <w:tcW w:type="dxa" w:w="1234"/>
          </w:tcPr>
          <w:p>
            <w:r>
              <w:rPr>
                <w:rFonts w:ascii="Calibri" w:hAnsi="Calibri"/>
                <w:sz w:val="22"/>
              </w:rPr>
              <w:t>$0.821</w:t>
            </w:r>
          </w:p>
        </w:tc>
        <w:tc>
          <w:tcPr>
            <w:tcW w:type="dxa" w:w="1234"/>
          </w:tcPr>
          <w:p>
            <w:r>
              <w:rPr>
                <w:rFonts w:ascii="Calibri" w:hAnsi="Calibri"/>
                <w:sz w:val="22"/>
              </w:rPr>
              <w:t>$0.720</w:t>
            </w:r>
          </w:p>
        </w:tc>
        <w:tc>
          <w:tcPr>
            <w:tcW w:type="dxa" w:w="1234"/>
          </w:tcPr>
          <w:p>
            <w:r>
              <w:rPr>
                <w:rFonts w:ascii="Calibri" w:hAnsi="Calibri"/>
                <w:sz w:val="22"/>
              </w:rPr>
              <w:t>$0.662</w:t>
            </w:r>
          </w:p>
        </w:tc>
        <w:tc>
          <w:tcPr>
            <w:tcW w:type="dxa" w:w="1234"/>
          </w:tcPr>
          <w:p>
            <w:r>
              <w:rPr>
                <w:rFonts w:ascii="Calibri" w:hAnsi="Calibri"/>
                <w:sz w:val="22"/>
              </w:rPr>
              <w:t>-8.1% YoY</w:t>
            </w:r>
          </w:p>
        </w:tc>
        <w:tc>
          <w:tcPr>
            <w:tcW w:type="dxa" w:w="1234"/>
          </w:tcPr>
          <w:p>
            <w:r>
              <w:rPr>
                <w:rFonts w:ascii="Calibri" w:hAnsi="Calibri"/>
                <w:sz w:val="22"/>
              </w:rPr>
              <w:t>N/A (no quarterly EPS guidance)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$92M</w:t>
            </w:r>
          </w:p>
        </w:tc>
        <w:tc>
          <w:tcPr>
            <w:tcW w:type="dxa" w:w="1234"/>
          </w:tcPr>
          <w:p>
            <w:r>
              <w:rPr>
                <w:rFonts w:ascii="Calibri" w:hAnsi="Calibri"/>
                <w:sz w:val="22"/>
              </w:rPr>
              <w:t>$146M</w:t>
            </w:r>
          </w:p>
        </w:tc>
        <w:tc>
          <w:tcPr>
            <w:tcW w:type="dxa" w:w="1234"/>
          </w:tcPr>
          <w:p>
            <w:r>
              <w:rPr>
                <w:rFonts w:ascii="Calibri" w:hAnsi="Calibri"/>
                <w:sz w:val="22"/>
              </w:rPr>
              <w:t>$159M</w:t>
            </w:r>
          </w:p>
        </w:tc>
        <w:tc>
          <w:tcPr>
            <w:tcW w:type="dxa" w:w="1234"/>
          </w:tcPr>
          <w:p>
            <w:r>
              <w:rPr>
                <w:rFonts w:ascii="Calibri" w:hAnsi="Calibri"/>
                <w:sz w:val="22"/>
              </w:rPr>
              <w:t>+8.9% YoY</w:t>
            </w:r>
          </w:p>
        </w:tc>
        <w:tc>
          <w:tcPr>
            <w:tcW w:type="dxa" w:w="1234"/>
          </w:tcPr>
          <w:p>
            <w:r>
              <w:rPr>
                <w:rFonts w:ascii="Calibri" w:hAnsi="Calibri"/>
                <w:sz w:val="22"/>
              </w:rPr>
              <w:t>Meaningful improvement YoY (no specific quarterly target)</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latest available (August 2026). FY 2026 guidance as stated on Q1 2026 earnings call (May 6,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2024</w:t>
            </w:r>
          </w:p>
        </w:tc>
        <w:tc>
          <w:tcPr>
            <w:tcW w:type="dxa" w:w="1728"/>
          </w:tcPr>
          <w:p>
            <w:r>
              <w:rPr>
                <w:rFonts w:ascii="Calibri" w:hAnsi="Calibri"/>
                <w:sz w:val="22"/>
              </w:rPr>
              <w:t>$2.899B</w:t>
            </w:r>
          </w:p>
        </w:tc>
        <w:tc>
          <w:tcPr>
            <w:tcW w:type="dxa" w:w="1728"/>
          </w:tcPr>
          <w:p>
            <w:r>
              <w:rPr>
                <w:rFonts w:ascii="Calibri" w:hAnsi="Calibri"/>
                <w:sz w:val="22"/>
              </w:rPr>
              <w:t>$2.771B</w:t>
            </w:r>
          </w:p>
        </w:tc>
        <w:tc>
          <w:tcPr>
            <w:tcW w:type="dxa" w:w="1728"/>
          </w:tcPr>
          <w:p>
            <w:r>
              <w:rPr>
                <w:rFonts w:ascii="Calibri" w:hAnsi="Calibri"/>
                <w:b/>
                <w:color w:val="30A46C"/>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$2.889B</w:t>
            </w:r>
          </w:p>
        </w:tc>
        <w:tc>
          <w:tcPr>
            <w:tcW w:type="dxa" w:w="1728"/>
          </w:tcPr>
          <w:p>
            <w:r>
              <w:rPr>
                <w:rFonts w:ascii="Calibri" w:hAnsi="Calibri"/>
                <w:sz w:val="22"/>
              </w:rPr>
              <w:t>$2.825B</w:t>
            </w:r>
          </w:p>
        </w:tc>
        <w:tc>
          <w:tcPr>
            <w:tcW w:type="dxa" w:w="1728"/>
          </w:tcPr>
          <w:p>
            <w:r>
              <w:rPr>
                <w:rFonts w:ascii="Calibri" w:hAnsi="Calibri"/>
                <w:b/>
                <w:color w:val="30A46C"/>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$2.925B</w:t>
            </w:r>
          </w:p>
        </w:tc>
        <w:tc>
          <w:tcPr>
            <w:tcW w:type="dxa" w:w="1728"/>
          </w:tcPr>
          <w:p>
            <w:r>
              <w:rPr>
                <w:rFonts w:ascii="Calibri" w:hAnsi="Calibri"/>
                <w:sz w:val="22"/>
              </w:rPr>
              <w:t>$2.834B</w:t>
            </w:r>
          </w:p>
        </w:tc>
        <w:tc>
          <w:tcPr>
            <w:tcW w:type="dxa" w:w="1728"/>
          </w:tcPr>
          <w:p>
            <w:r>
              <w:rPr>
                <w:rFonts w:ascii="Calibri" w:hAnsi="Calibri"/>
                <w:b/>
                <w:color w:val="30A46C"/>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$2.771B</w:t>
            </w:r>
          </w:p>
        </w:tc>
        <w:tc>
          <w:tcPr>
            <w:tcW w:type="dxa" w:w="1728"/>
          </w:tcPr>
          <w:p>
            <w:r>
              <w:rPr>
                <w:rFonts w:ascii="Calibri" w:hAnsi="Calibri"/>
                <w:sz w:val="22"/>
              </w:rPr>
              <w:t>$2.684B</w:t>
            </w:r>
          </w:p>
        </w:tc>
        <w:tc>
          <w:tcPr>
            <w:tcW w:type="dxa" w:w="1728"/>
          </w:tcPr>
          <w:p>
            <w:r>
              <w:rPr>
                <w:rFonts w:ascii="Calibri" w:hAnsi="Calibri"/>
                <w:b/>
                <w:color w:val="30A46C"/>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$2.843B</w:t>
            </w:r>
          </w:p>
        </w:tc>
        <w:tc>
          <w:tcPr>
            <w:tcW w:type="dxa" w:w="1728"/>
          </w:tcPr>
          <w:p>
            <w:r>
              <w:rPr>
                <w:rFonts w:ascii="Calibri" w:hAnsi="Calibri"/>
                <w:sz w:val="22"/>
              </w:rPr>
              <w:t>$2.835B</w:t>
            </w:r>
          </w:p>
        </w:tc>
        <w:tc>
          <w:tcPr>
            <w:tcW w:type="dxa" w:w="1728"/>
          </w:tcPr>
          <w:p>
            <w:r>
              <w:rPr>
                <w:rFonts w:ascii="Calibri" w:hAnsi="Calibri"/>
                <w:b/>
                <w:color w:val="30A46C"/>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$2.764B</w:t>
            </w:r>
          </w:p>
        </w:tc>
        <w:tc>
          <w:tcPr>
            <w:tcW w:type="dxa" w:w="1728"/>
          </w:tcPr>
          <w:p>
            <w:r>
              <w:rPr>
                <w:rFonts w:ascii="Calibri" w:hAnsi="Calibri"/>
                <w:sz w:val="22"/>
              </w:rPr>
              <w:t>$2.738B</w:t>
            </w:r>
          </w:p>
        </w:tc>
        <w:tc>
          <w:tcPr>
            <w:tcW w:type="dxa" w:w="1728"/>
          </w:tcPr>
          <w:p>
            <w:r>
              <w:rPr>
                <w:rFonts w:ascii="Calibri" w:hAnsi="Calibri"/>
                <w:b/>
                <w:color w:val="30A46C"/>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$2.694B</w:t>
            </w:r>
          </w:p>
        </w:tc>
        <w:tc>
          <w:tcPr>
            <w:tcW w:type="dxa" w:w="1728"/>
          </w:tcPr>
          <w:p>
            <w:r>
              <w:rPr>
                <w:rFonts w:ascii="Calibri" w:hAnsi="Calibri"/>
                <w:sz w:val="22"/>
              </w:rPr>
              <w:t>$2.640B</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$2.589B</w:t>
            </w:r>
          </w:p>
        </w:tc>
        <w:tc>
          <w:tcPr>
            <w:tcW w:type="dxa" w:w="1728"/>
          </w:tcPr>
          <w:p>
            <w:r>
              <w:rPr>
                <w:rFonts w:ascii="Calibri" w:hAnsi="Calibri"/>
                <w:sz w:val="22"/>
              </w:rPr>
              <w:t>$2.517B</w:t>
            </w:r>
          </w:p>
        </w:tc>
        <w:tc>
          <w:tcPr>
            <w:tcW w:type="dxa" w:w="1728"/>
          </w:tcPr>
          <w:p>
            <w:r>
              <w:rPr>
                <w:rFonts w:ascii="Calibri" w:hAnsi="Calibri"/>
                <w:b/>
                <w:color w:val="30A46C"/>
                <w:sz w:val="22"/>
              </w:rPr>
              <w:t>+2.9%</w:t>
            </w:r>
          </w:p>
        </w:tc>
        <w:tc>
          <w:tcPr>
            <w:tcW w:type="dxa" w:w="1728"/>
          </w:tcPr>
          <w:p>
            <w:r>
              <w:rPr>
                <w:rFonts w:ascii="Calibri" w:hAnsi="Calibri"/>
                <w:b/>
                <w:color w:val="30A46C"/>
                <w:sz w:val="22"/>
              </w:rPr>
              <w:t>BEAT</w:t>
            </w:r>
          </w:p>
        </w:tc>
      </w:tr>
    </w:tbl>
    <w:p>
      <w:r>
        <w:rPr>
          <w:rFonts w:ascii="Calibri" w:hAnsi="Calibri"/>
          <w:i/>
          <w:color w:val="525866"/>
          <w:sz w:val="22"/>
        </w:rPr>
        <w:t>IFF has beaten revenue consensus in each of the last 8 consecutive quarters, with surprise magnitude ranging from +0.3% to +4.6%, suggesting the street consistently sets a beatable bar on the top line.</w:t>
      </w:r>
    </w:p>
    <w:p>
      <w:r>
        <w:rPr>
          <w:rFonts w:ascii="Calibri" w:hAnsi="Calibri"/>
          <w:b/>
          <w:color w:val="525866"/>
          <w:sz w:val="22"/>
        </w:rPr>
        <w:t>Top KPI #2: Adjusted Operating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2024</w:t>
            </w:r>
          </w:p>
        </w:tc>
        <w:tc>
          <w:tcPr>
            <w:tcW w:type="dxa" w:w="1728"/>
          </w:tcPr>
          <w:p>
            <w:r>
              <w:rPr>
                <w:rFonts w:ascii="Calibri" w:hAnsi="Calibri"/>
                <w:sz w:val="22"/>
              </w:rPr>
              <w:t>$578M</w:t>
            </w:r>
          </w:p>
        </w:tc>
        <w:tc>
          <w:tcPr>
            <w:tcW w:type="dxa" w:w="1728"/>
          </w:tcPr>
          <w:p>
            <w:r>
              <w:rPr>
                <w:rFonts w:ascii="Calibri" w:hAnsi="Calibri"/>
                <w:sz w:val="22"/>
              </w:rPr>
              <w:t>$491M</w:t>
            </w:r>
          </w:p>
        </w:tc>
        <w:tc>
          <w:tcPr>
            <w:tcW w:type="dxa" w:w="1728"/>
          </w:tcPr>
          <w:p>
            <w:r>
              <w:rPr>
                <w:rFonts w:ascii="Calibri" w:hAnsi="Calibri"/>
                <w:b/>
                <w:color w:val="30A46C"/>
                <w:sz w:val="22"/>
              </w:rPr>
              <w:t>+17.6%</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$588M</w:t>
            </w:r>
          </w:p>
        </w:tc>
        <w:tc>
          <w:tcPr>
            <w:tcW w:type="dxa" w:w="1728"/>
          </w:tcPr>
          <w:p>
            <w:r>
              <w:rPr>
                <w:rFonts w:ascii="Calibri" w:hAnsi="Calibri"/>
                <w:sz w:val="22"/>
              </w:rPr>
              <w:t>$534M</w:t>
            </w:r>
          </w:p>
        </w:tc>
        <w:tc>
          <w:tcPr>
            <w:tcW w:type="dxa" w:w="1728"/>
          </w:tcPr>
          <w:p>
            <w:r>
              <w:rPr>
                <w:rFonts w:ascii="Calibri" w:hAnsi="Calibri"/>
                <w:b/>
                <w:color w:val="30A46C"/>
                <w:sz w:val="22"/>
              </w:rPr>
              <w:t>+10.1%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$568M</w:t>
            </w:r>
          </w:p>
        </w:tc>
        <w:tc>
          <w:tcPr>
            <w:tcW w:type="dxa" w:w="1728"/>
          </w:tcPr>
          <w:p>
            <w:r>
              <w:rPr>
                <w:rFonts w:ascii="Calibri" w:hAnsi="Calibri"/>
                <w:sz w:val="22"/>
              </w:rPr>
              <w:t>$542M</w:t>
            </w:r>
          </w:p>
        </w:tc>
        <w:tc>
          <w:tcPr>
            <w:tcW w:type="dxa" w:w="1728"/>
          </w:tcPr>
          <w:p>
            <w:r>
              <w:rPr>
                <w:rFonts w:ascii="Calibri" w:hAnsi="Calibri"/>
                <w:b/>
                <w:color w:val="30A46C"/>
                <w:sz w:val="22"/>
              </w:rPr>
              <w:t>+4.8%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$471M</w:t>
            </w:r>
          </w:p>
        </w:tc>
        <w:tc>
          <w:tcPr>
            <w:tcW w:type="dxa" w:w="1728"/>
          </w:tcPr>
          <w:p>
            <w:r>
              <w:rPr>
                <w:rFonts w:ascii="Calibri" w:hAnsi="Calibri"/>
                <w:sz w:val="22"/>
              </w:rPr>
              <w:t>$456M</w:t>
            </w:r>
          </w:p>
        </w:tc>
        <w:tc>
          <w:tcPr>
            <w:tcW w:type="dxa" w:w="1728"/>
          </w:tcPr>
          <w:p>
            <w:r>
              <w:rPr>
                <w:rFonts w:ascii="Calibri" w:hAnsi="Calibri"/>
                <w:b/>
                <w:color w:val="30A46C"/>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$578M</w:t>
            </w:r>
          </w:p>
        </w:tc>
        <w:tc>
          <w:tcPr>
            <w:tcW w:type="dxa" w:w="1728"/>
          </w:tcPr>
          <w:p>
            <w:r>
              <w:rPr>
                <w:rFonts w:ascii="Calibri" w:hAnsi="Calibri"/>
                <w:sz w:val="22"/>
              </w:rPr>
              <w:t>$562M</w:t>
            </w:r>
          </w:p>
        </w:tc>
        <w:tc>
          <w:tcPr>
            <w:tcW w:type="dxa" w:w="1728"/>
          </w:tcPr>
          <w:p>
            <w:r>
              <w:rPr>
                <w:rFonts w:ascii="Calibri" w:hAnsi="Calibri"/>
                <w:b/>
                <w:color w:val="30A46C"/>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$552M</w:t>
            </w:r>
          </w:p>
        </w:tc>
        <w:tc>
          <w:tcPr>
            <w:tcW w:type="dxa" w:w="1728"/>
          </w:tcPr>
          <w:p>
            <w:r>
              <w:rPr>
                <w:rFonts w:ascii="Calibri" w:hAnsi="Calibri"/>
                <w:sz w:val="22"/>
              </w:rPr>
              <w:t>$553M</w:t>
            </w:r>
          </w:p>
        </w:tc>
        <w:tc>
          <w:tcPr>
            <w:tcW w:type="dxa" w:w="1728"/>
          </w:tcPr>
          <w:p>
            <w:r>
              <w:rPr>
                <w:rFonts w:ascii="Calibri" w:hAnsi="Calibri"/>
                <w:b/>
                <w:color w:val="E5484D"/>
                <w:sz w:val="22"/>
              </w:rPr>
              <w:t>-0.2%</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$519M</w:t>
            </w:r>
          </w:p>
        </w:tc>
        <w:tc>
          <w:tcPr>
            <w:tcW w:type="dxa" w:w="1728"/>
          </w:tcPr>
          <w:p>
            <w:r>
              <w:rPr>
                <w:rFonts w:ascii="Calibri" w:hAnsi="Calibri"/>
                <w:sz w:val="22"/>
              </w:rPr>
              <w:t>$496M</w:t>
            </w:r>
          </w:p>
        </w:tc>
        <w:tc>
          <w:tcPr>
            <w:tcW w:type="dxa" w:w="1728"/>
          </w:tcPr>
          <w:p>
            <w:r>
              <w:rPr>
                <w:rFonts w:ascii="Calibri" w:hAnsi="Calibri"/>
                <w:b/>
                <w:color w:val="30A46C"/>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$437M</w:t>
            </w:r>
          </w:p>
        </w:tc>
        <w:tc>
          <w:tcPr>
            <w:tcW w:type="dxa" w:w="1728"/>
          </w:tcPr>
          <w:p>
            <w:r>
              <w:rPr>
                <w:rFonts w:ascii="Calibri" w:hAnsi="Calibri"/>
                <w:sz w:val="22"/>
              </w:rPr>
              <w:t>$433M</w:t>
            </w:r>
          </w:p>
        </w:tc>
        <w:tc>
          <w:tcPr>
            <w:tcW w:type="dxa" w:w="1728"/>
          </w:tcPr>
          <w:p>
            <w:r>
              <w:rPr>
                <w:rFonts w:ascii="Calibri" w:hAnsi="Calibri"/>
                <w:b/>
                <w:color w:val="30A46C"/>
                <w:sz w:val="22"/>
              </w:rPr>
              <w:t>+0.9%</w:t>
            </w:r>
          </w:p>
        </w:tc>
        <w:tc>
          <w:tcPr>
            <w:tcW w:type="dxa" w:w="1728"/>
          </w:tcPr>
          <w:p>
            <w:r>
              <w:rPr>
                <w:rFonts w:ascii="Calibri" w:hAnsi="Calibri"/>
                <w:b/>
                <w:color w:val="30A46C"/>
                <w:sz w:val="22"/>
              </w:rPr>
              <w:t>BEAT</w:t>
            </w:r>
          </w:p>
        </w:tc>
      </w:tr>
    </w:tbl>
    <w:p>
      <w:r>
        <w:rPr>
          <w:rFonts w:ascii="Calibri" w:hAnsi="Calibri"/>
          <w:i/>
          <w:color w:val="525866"/>
          <w:sz w:val="22"/>
        </w:rPr>
        <w:t>IFF has beaten EBITDA consensus in 7 of the last 8 quarters (the lone miss was a near-flat Q2 2025 at -0.2%), with the largest beats in early 2024 as the turnaround gained traction; the pattern supports a beatable bar heading into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guidance was reaffirmed at Q1 earnings with no subsequent changes; the only post-earnings development was a $1B term loan refinancing in June 2026. Management tone remains cautiously confident — Q1 outperformance de-risks the year, but Q2 is explicitly guided lower with recovery expected in H2.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Total Revenue</w:t>
            </w:r>
          </w:p>
        </w:tc>
        <w:tc>
          <w:tcPr>
            <w:tcW w:type="dxa" w:w="1728"/>
          </w:tcPr>
          <w:p>
            <w:r>
              <w:rPr>
                <w:rFonts w:ascii="Calibri" w:hAnsi="Calibri"/>
                <w:sz w:val="22"/>
              </w:rPr>
              <w:t>$10.5B–$10.8B (1%–4% growth)</w:t>
            </w:r>
          </w:p>
        </w:tc>
        <w:tc>
          <w:tcPr>
            <w:tcW w:type="dxa" w:w="1728"/>
          </w:tcPr>
          <w:p>
            <w:r>
              <w:rPr>
                <w:rFonts w:ascii="Calibri" w:hAnsi="Calibri"/>
                <w:sz w:val="22"/>
              </w:rPr>
              <w:t>—</w:t>
            </w:r>
          </w:p>
        </w:tc>
        <w:tc>
          <w:tcPr>
            <w:tcW w:type="dxa" w:w="1728"/>
          </w:tcPr>
          <w:p>
            <w:r>
              <w:rPr>
                <w:rFonts w:ascii="Calibri" w:hAnsi="Calibri"/>
                <w:sz w:val="22"/>
              </w:rPr>
              <w:t>$10.51B</w:t>
            </w:r>
          </w:p>
        </w:tc>
        <w:tc>
          <w:tcPr>
            <w:tcW w:type="dxa" w:w="1728"/>
          </w:tcPr>
          <w:p>
            <w:r>
              <w:rPr>
                <w:rFonts w:ascii="Calibri" w:hAnsi="Calibri"/>
                <w:sz w:val="22"/>
              </w:rPr>
              <w:t>Reaffirmed at Q1 earnings; consensus at low end of range. FX expected to add ~1pp to growth.</w:t>
            </w:r>
          </w:p>
        </w:tc>
      </w:tr>
      <w:tr>
        <w:tc>
          <w:tcPr>
            <w:tcW w:type="dxa" w:w="1728"/>
          </w:tcPr>
          <w:p>
            <w:r>
              <w:rPr>
                <w:rFonts w:ascii="Calibri" w:hAnsi="Calibri"/>
                <w:sz w:val="22"/>
              </w:rPr>
              <w:t>FY 2026 Adj. Operating EBITDA</w:t>
            </w:r>
          </w:p>
        </w:tc>
        <w:tc>
          <w:tcPr>
            <w:tcW w:type="dxa" w:w="1728"/>
          </w:tcPr>
          <w:p>
            <w:r>
              <w:rPr>
                <w:rFonts w:ascii="Calibri" w:hAnsi="Calibri"/>
                <w:sz w:val="22"/>
              </w:rPr>
              <w:t>$2.05B–$2.15B (3%–8% growth)</w:t>
            </w:r>
          </w:p>
        </w:tc>
        <w:tc>
          <w:tcPr>
            <w:tcW w:type="dxa" w:w="1728"/>
          </w:tcPr>
          <w:p>
            <w:r>
              <w:rPr>
                <w:rFonts w:ascii="Calibri" w:hAnsi="Calibri"/>
                <w:sz w:val="22"/>
              </w:rPr>
              <w:t>—</w:t>
            </w:r>
          </w:p>
        </w:tc>
        <w:tc>
          <w:tcPr>
            <w:tcW w:type="dxa" w:w="1728"/>
          </w:tcPr>
          <w:p>
            <w:r>
              <w:rPr>
                <w:rFonts w:ascii="Calibri" w:hAnsi="Calibri"/>
                <w:sz w:val="22"/>
              </w:rPr>
              <w:t>$2.07B</w:t>
            </w:r>
          </w:p>
        </w:tc>
        <w:tc>
          <w:tcPr>
            <w:tcW w:type="dxa" w:w="1728"/>
          </w:tcPr>
          <w:p>
            <w:r>
              <w:rPr>
                <w:rFonts w:ascii="Calibri" w:hAnsi="Calibri"/>
                <w:sz w:val="22"/>
              </w:rPr>
              <w:t>Reaffirmed at Q1 earnings; consensus near low end. Solid margin expansion expected.</w:t>
            </w:r>
          </w:p>
        </w:tc>
      </w:tr>
      <w:tr>
        <w:tc>
          <w:tcPr>
            <w:tcW w:type="dxa" w:w="1728"/>
          </w:tcPr>
          <w:p>
            <w:r>
              <w:rPr>
                <w:rFonts w:ascii="Calibri" w:hAnsi="Calibri"/>
                <w:sz w:val="22"/>
              </w:rPr>
              <w:t>Q2 2026 EBITDA (Qualitative)</w:t>
            </w:r>
          </w:p>
        </w:tc>
        <w:tc>
          <w:tcPr>
            <w:tcW w:type="dxa" w:w="1728"/>
          </w:tcPr>
          <w:p>
            <w:r>
              <w:rPr>
                <w:rFonts w:ascii="Calibri" w:hAnsi="Calibri"/>
                <w:sz w:val="22"/>
              </w:rPr>
              <w:t>Absolute EBITDA dollars lower than Q1's $568M; lower volume, unfavorable price-to-input costs, fine fragrance mix weakness</w:t>
            </w:r>
          </w:p>
        </w:tc>
        <w:tc>
          <w:tcPr>
            <w:tcW w:type="dxa" w:w="1728"/>
          </w:tcPr>
          <w:p>
            <w:r>
              <w:rPr>
                <w:rFonts w:ascii="Calibri" w:hAnsi="Calibri"/>
                <w:sz w:val="22"/>
              </w:rPr>
              <w:t>—</w:t>
            </w:r>
          </w:p>
        </w:tc>
        <w:tc>
          <w:tcPr>
            <w:tcW w:type="dxa" w:w="1728"/>
          </w:tcPr>
          <w:p>
            <w:r>
              <w:rPr>
                <w:rFonts w:ascii="Calibri" w:hAnsi="Calibri"/>
                <w:sz w:val="22"/>
              </w:rPr>
              <w:t>$516M (consensus)</w:t>
            </w:r>
          </w:p>
        </w:tc>
        <w:tc>
          <w:tcPr>
            <w:tcW w:type="dxa" w:w="1728"/>
          </w:tcPr>
          <w:p>
            <w:r>
              <w:rPr>
                <w:rFonts w:ascii="Calibri" w:hAnsi="Calibri"/>
                <w:sz w:val="22"/>
              </w:rPr>
              <w:t>Consensus has priced in the guided-down quarter; $516M is ~9% below Q1 actual.</w:t>
            </w:r>
          </w:p>
        </w:tc>
      </w:tr>
      <w:tr>
        <w:tc>
          <w:tcPr>
            <w:tcW w:type="dxa" w:w="1728"/>
          </w:tcPr>
          <w:p>
            <w:r>
              <w:rPr>
                <w:rFonts w:ascii="Calibri" w:hAnsi="Calibri"/>
                <w:sz w:val="22"/>
              </w:rPr>
              <w:t>H2 2026 Recovery</w:t>
            </w:r>
          </w:p>
        </w:tc>
        <w:tc>
          <w:tcPr>
            <w:tcW w:type="dxa" w:w="1728"/>
          </w:tcPr>
          <w:p>
            <w:r>
              <w:rPr>
                <w:rFonts w:ascii="Calibri" w:hAnsi="Calibri"/>
                <w:sz w:val="22"/>
              </w:rPr>
              <w:t>Three Q2 headwinds (volume, price-cost, fine fragrance) expected to improve in H2 as pricing surcharges build and Middle East situation stabilizes</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Key risk: if Middle East conflict persists or pricing surcharges lag, H2 recovery could disappoint.</w:t>
            </w:r>
          </w:p>
        </w:tc>
      </w:tr>
      <w:tr>
        <w:tc>
          <w:tcPr>
            <w:tcW w:type="dxa" w:w="1728"/>
          </w:tcPr>
          <w:p>
            <w:r>
              <w:rPr>
                <w:rFonts w:ascii="Calibri" w:hAnsi="Calibri"/>
                <w:sz w:val="22"/>
              </w:rPr>
              <w:t>Food Ingredients Divestiture</w:t>
            </w:r>
          </w:p>
        </w:tc>
        <w:tc>
          <w:tcPr>
            <w:tcW w:type="dxa" w:w="1728"/>
          </w:tcPr>
          <w:p>
            <w:r>
              <w:rPr>
                <w:rFonts w:ascii="Calibri" w:hAnsi="Calibri"/>
                <w:sz w:val="22"/>
              </w:rPr>
              <w:t>Update expected by Q2 2026 earnings call; second-round due diligence underway with several buyers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Biggest potential catalyst at Q2 print; deal announcement could be a significant positive re-rating event.</w:t>
            </w:r>
          </w:p>
        </w:tc>
      </w:tr>
      <w:tr>
        <w:tc>
          <w:tcPr>
            <w:tcW w:type="dxa" w:w="1728"/>
          </w:tcPr>
          <w:p>
            <w:r>
              <w:rPr>
                <w:rFonts w:ascii="Calibri" w:hAnsi="Calibri"/>
                <w:sz w:val="22"/>
              </w:rPr>
              <w:t>Debt Refinancing</w:t>
            </w:r>
          </w:p>
        </w:tc>
        <w:tc>
          <w:tcPr>
            <w:tcW w:type="dxa" w:w="1728"/>
          </w:tcPr>
          <w:p>
            <w:r>
              <w:rPr>
                <w:rFonts w:ascii="Calibri" w:hAnsi="Calibri"/>
                <w:sz w:val="22"/>
              </w:rPr>
              <w:t>N/A (not in original guidance)</w:t>
            </w:r>
          </w:p>
        </w:tc>
        <w:tc>
          <w:tcPr>
            <w:tcW w:type="dxa" w:w="1728"/>
          </w:tcPr>
          <w:p>
            <w:r>
              <w:rPr>
                <w:rFonts w:ascii="Calibri" w:hAnsi="Calibri"/>
                <w:sz w:val="22"/>
              </w:rPr>
              <w:t>$1B term loan secured June 23, 2026 for debt refinancing (8-K)</w:t>
            </w:r>
          </w:p>
        </w:tc>
        <w:tc>
          <w:tcPr>
            <w:tcW w:type="dxa" w:w="1728"/>
          </w:tcPr>
          <w:p>
            <w:r>
              <w:rPr>
                <w:rFonts w:ascii="Calibri" w:hAnsi="Calibri"/>
                <w:sz w:val="22"/>
              </w:rPr>
              <w:t>N/A</w:t>
            </w:r>
          </w:p>
        </w:tc>
        <w:tc>
          <w:tcPr>
            <w:tcW w:type="dxa" w:w="1728"/>
          </w:tcPr>
          <w:p>
            <w:r>
              <w:rPr>
                <w:rFonts w:ascii="Calibri" w:hAnsi="Calibri"/>
                <w:sz w:val="22"/>
              </w:rPr>
              <w:t>Post-earnings capital structure action; extends maturity profile, no change to operating guidance.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been revised down since the Q1 print (as expected, given management's explicit guidance for a lower quarter), while FY 2026 estimates have been revised up modestly — reflecting the Q1 beat flowing through. The gap between consensus and the FY guidance midpoint is narrow, suggesting the street is tracking management's framework closely.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$2.677B</w:t>
            </w:r>
          </w:p>
        </w:tc>
        <w:tc>
          <w:tcPr>
            <w:tcW w:type="dxa" w:w="1080"/>
          </w:tcPr>
          <w:p>
            <w:r>
              <w:rPr>
                <w:rFonts w:ascii="Calibri" w:hAnsi="Calibri"/>
                <w:sz w:val="22"/>
              </w:rPr>
              <w:t>$2.606B</w:t>
            </w:r>
          </w:p>
        </w:tc>
        <w:tc>
          <w:tcPr>
            <w:tcW w:type="dxa" w:w="1080"/>
          </w:tcPr>
          <w:p>
            <w:r>
              <w:rPr>
                <w:rFonts w:ascii="Calibri" w:hAnsi="Calibri"/>
                <w:b/>
                <w:color w:val="E5484D"/>
                <w:sz w:val="22"/>
              </w:rPr>
              <w:t>-2.6%</w:t>
            </w:r>
          </w:p>
        </w:tc>
        <w:tc>
          <w:tcPr>
            <w:tcW w:type="dxa" w:w="1080"/>
          </w:tcPr>
          <w:p>
            <w:r>
              <w:rPr>
                <w:rFonts w:ascii="Calibri" w:hAnsi="Calibri"/>
                <w:sz w:val="22"/>
              </w:rPr>
              <w:t>Lower than Q1 (qualitative)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Q2 revenue guidance)</w:t>
            </w:r>
          </w:p>
        </w:tc>
      </w:tr>
      <w:tr>
        <w:tc>
          <w:tcPr>
            <w:tcW w:type="dxa" w:w="1080"/>
          </w:tcPr>
          <w:p>
            <w:r>
              <w:rPr>
                <w:rFonts w:ascii="Calibri" w:hAnsi="Calibri"/>
                <w:sz w:val="22"/>
              </w:rPr>
              <w:t>Total Revenue — FY 2026</w:t>
            </w:r>
          </w:p>
        </w:tc>
        <w:tc>
          <w:tcPr>
            <w:tcW w:type="dxa" w:w="1080"/>
          </w:tcPr>
          <w:p>
            <w:r>
              <w:rPr>
                <w:rFonts w:ascii="Calibri" w:hAnsi="Calibri"/>
                <w:sz w:val="22"/>
              </w:rPr>
              <w:t>$10.733B</w:t>
            </w:r>
          </w:p>
        </w:tc>
        <w:tc>
          <w:tcPr>
            <w:tcW w:type="dxa" w:w="1080"/>
          </w:tcPr>
          <w:p>
            <w:r>
              <w:rPr>
                <w:rFonts w:ascii="Calibri" w:hAnsi="Calibri"/>
                <w:sz w:val="22"/>
              </w:rPr>
              <w:t>$10.505B</w:t>
            </w:r>
          </w:p>
        </w:tc>
        <w:tc>
          <w:tcPr>
            <w:tcW w:type="dxa" w:w="1080"/>
          </w:tcPr>
          <w:p>
            <w:r>
              <w:rPr>
                <w:rFonts w:ascii="Calibri" w:hAnsi="Calibri"/>
                <w:b/>
                <w:color w:val="E5484D"/>
                <w:sz w:val="22"/>
              </w:rPr>
              <w:t>-2.1%</w:t>
            </w:r>
          </w:p>
        </w:tc>
        <w:tc>
          <w:tcPr>
            <w:tcW w:type="dxa" w:w="1080"/>
          </w:tcPr>
          <w:p>
            <w:r>
              <w:rPr>
                <w:rFonts w:ascii="Calibri" w:hAnsi="Calibri"/>
                <w:sz w:val="22"/>
              </w:rPr>
              <w:t>$10.5B–$10.8B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 vs. midpoint ($10.65B)</w:t>
            </w:r>
          </w:p>
        </w:tc>
      </w:tr>
      <w:tr>
        <w:tc>
          <w:tcPr>
            <w:tcW w:type="dxa" w:w="1080"/>
          </w:tcPr>
          <w:p>
            <w:r>
              <w:rPr>
                <w:rFonts w:ascii="Calibri" w:hAnsi="Calibri"/>
                <w:sz w:val="22"/>
              </w:rPr>
              <w:t>Adj. EBITDA — Q2 2026</w:t>
            </w:r>
          </w:p>
        </w:tc>
        <w:tc>
          <w:tcPr>
            <w:tcW w:type="dxa" w:w="1080"/>
          </w:tcPr>
          <w:p>
            <w:r>
              <w:rPr>
                <w:rFonts w:ascii="Calibri" w:hAnsi="Calibri"/>
                <w:sz w:val="22"/>
              </w:rPr>
              <w:t>$528M</w:t>
            </w:r>
          </w:p>
        </w:tc>
        <w:tc>
          <w:tcPr>
            <w:tcW w:type="dxa" w:w="1080"/>
          </w:tcPr>
          <w:p>
            <w:r>
              <w:rPr>
                <w:rFonts w:ascii="Calibri" w:hAnsi="Calibri"/>
                <w:sz w:val="22"/>
              </w:rPr>
              <w:t>$516M</w:t>
            </w:r>
          </w:p>
        </w:tc>
        <w:tc>
          <w:tcPr>
            <w:tcW w:type="dxa" w:w="1080"/>
          </w:tcPr>
          <w:p>
            <w:r>
              <w:rPr>
                <w:rFonts w:ascii="Calibri" w:hAnsi="Calibri"/>
                <w:b/>
                <w:color w:val="E5484D"/>
                <w:sz w:val="22"/>
              </w:rPr>
              <w:t>-2.3%</w:t>
            </w:r>
          </w:p>
        </w:tc>
        <w:tc>
          <w:tcPr>
            <w:tcW w:type="dxa" w:w="1080"/>
          </w:tcPr>
          <w:p>
            <w:r>
              <w:rPr>
                <w:rFonts w:ascii="Calibri" w:hAnsi="Calibri"/>
                <w:sz w:val="22"/>
              </w:rPr>
              <w:t>Lower than Q1's $568M (qualitative)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Q2 EBITDA guidance)</w:t>
            </w:r>
          </w:p>
        </w:tc>
      </w:tr>
      <w:tr>
        <w:tc>
          <w:tcPr>
            <w:tcW w:type="dxa" w:w="1080"/>
          </w:tcPr>
          <w:p>
            <w:r>
              <w:rPr>
                <w:rFonts w:ascii="Calibri" w:hAnsi="Calibri"/>
                <w:sz w:val="22"/>
              </w:rPr>
              <w:t>Adj. EBITDA — FY 2026</w:t>
            </w:r>
          </w:p>
        </w:tc>
        <w:tc>
          <w:tcPr>
            <w:tcW w:type="dxa" w:w="1080"/>
          </w:tcPr>
          <w:p>
            <w:r>
              <w:rPr>
                <w:rFonts w:ascii="Calibri" w:hAnsi="Calibri"/>
                <w:sz w:val="22"/>
              </w:rPr>
              <w:t>$2.107B</w:t>
            </w:r>
          </w:p>
        </w:tc>
        <w:tc>
          <w:tcPr>
            <w:tcW w:type="dxa" w:w="1080"/>
          </w:tcPr>
          <w:p>
            <w:r>
              <w:rPr>
                <w:rFonts w:ascii="Calibri" w:hAnsi="Calibri"/>
                <w:sz w:val="22"/>
              </w:rPr>
              <w:t>$2.074B</w:t>
            </w:r>
          </w:p>
        </w:tc>
        <w:tc>
          <w:tcPr>
            <w:tcW w:type="dxa" w:w="1080"/>
          </w:tcPr>
          <w:p>
            <w:r>
              <w:rPr>
                <w:rFonts w:ascii="Calibri" w:hAnsi="Calibri"/>
                <w:b/>
                <w:color w:val="E5484D"/>
                <w:sz w:val="22"/>
              </w:rPr>
              <w:t>-1.6%</w:t>
            </w:r>
          </w:p>
        </w:tc>
        <w:tc>
          <w:tcPr>
            <w:tcW w:type="dxa" w:w="1080"/>
          </w:tcPr>
          <w:p>
            <w:r>
              <w:rPr>
                <w:rFonts w:ascii="Calibri" w:hAnsi="Calibri"/>
                <w:sz w:val="22"/>
              </w:rPr>
              <w:t>$2.05B–$2.15B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vs. midpoint ($2.10B)</w:t>
            </w:r>
          </w:p>
        </w:tc>
      </w:tr>
      <w:tr>
        <w:tc>
          <w:tcPr>
            <w:tcW w:type="dxa" w:w="1080"/>
          </w:tcPr>
          <w:p>
            <w:r>
              <w:rPr>
                <w:rFonts w:ascii="Calibri" w:hAnsi="Calibri"/>
                <w:sz w:val="22"/>
              </w:rPr>
              <w:t>EPS (Diluted Operating) — Q2 2026</w:t>
            </w:r>
          </w:p>
        </w:tc>
        <w:tc>
          <w:tcPr>
            <w:tcW w:type="dxa" w:w="1080"/>
          </w:tcPr>
          <w:p>
            <w:r>
              <w:rPr>
                <w:rFonts w:ascii="Calibri" w:hAnsi="Calibri"/>
                <w:sz w:val="22"/>
              </w:rPr>
              <w:t>$0.706</w:t>
            </w:r>
          </w:p>
        </w:tc>
        <w:tc>
          <w:tcPr>
            <w:tcW w:type="dxa" w:w="1080"/>
          </w:tcPr>
          <w:p>
            <w:r>
              <w:rPr>
                <w:rFonts w:ascii="Calibri" w:hAnsi="Calibri"/>
                <w:sz w:val="22"/>
              </w:rPr>
              <w:t>$0.662</w:t>
            </w:r>
          </w:p>
        </w:tc>
        <w:tc>
          <w:tcPr>
            <w:tcW w:type="dxa" w:w="1080"/>
          </w:tcPr>
          <w:p>
            <w:r>
              <w:rPr>
                <w:rFonts w:ascii="Calibri" w:hAnsi="Calibri"/>
                <w:b/>
                <w:color w:val="E5484D"/>
                <w:sz w:val="22"/>
              </w:rPr>
              <w:t>-6.2%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FY 2026</w:t>
            </w:r>
          </w:p>
        </w:tc>
        <w:tc>
          <w:tcPr>
            <w:tcW w:type="dxa" w:w="1080"/>
          </w:tcPr>
          <w:p>
            <w:r>
              <w:rPr>
                <w:rFonts w:ascii="Calibri" w:hAnsi="Calibri"/>
                <w:sz w:val="22"/>
              </w:rPr>
              <w:t>$2.816</w:t>
            </w:r>
          </w:p>
        </w:tc>
        <w:tc>
          <w:tcPr>
            <w:tcW w:type="dxa" w:w="1080"/>
          </w:tcPr>
          <w:p>
            <w:r>
              <w:rPr>
                <w:rFonts w:ascii="Calibri" w:hAnsi="Calibri"/>
                <w:sz w:val="22"/>
              </w:rPr>
              <w:t>$2.703</w:t>
            </w:r>
          </w:p>
        </w:tc>
        <w:tc>
          <w:tcPr>
            <w:tcW w:type="dxa" w:w="1080"/>
          </w:tcPr>
          <w:p>
            <w:r>
              <w:rPr>
                <w:rFonts w:ascii="Calibri" w:hAnsi="Calibri"/>
                <w:b/>
                <w:color w:val="E5484D"/>
                <w:sz w:val="22"/>
              </w:rPr>
              <w:t>-4.0%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Estimates have drifted modestly lower since the Q1 print across all metrics, consistent with management's explicit guidance for a softer Q2. FY 2026 consensus sits near the low end of the guidance range on both revenue and EBITDA, suggesting limited cushion if H2 recovery disappoints. The EPS revision (-4% to -6%) is larger than the EBITDA revision, likely reflecting higher interest/amortization assumptions post the June 2026 term loan refinancing.</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IFF has significantly outperformed both XLB and the S&amp;P 500 since Q1 earnings, driven by the Q1 beat and turnaround narrative — the stock surged ~17% on earnings day alone. The subsequent drift lower and partial recovery suggest the market is now in a "show me" mode heading into Q2, with the Food Ingredients divestiture update as the next potential re-rating catalyst.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IFF vs. XLB (Materials Select Sector SPDR) vs. S&amp;P 500 (SPY) — Indexed to 100 at Q1 2026 Earnings Date (May 5, 2026). Source: Yahoo Finance.</w:t>
      </w:r>
    </w:p>
    <w:p>
      <w:r>
        <w:rPr>
          <w:rFonts w:ascii="Calibri" w:hAnsi="Calibri"/>
          <w:color w:val="525866"/>
          <w:sz w:val="22"/>
        </w:rPr>
        <w:t xml:space="preserve">IFF opened at $70.77 on May 5, 2026 (Q1 earnings day) and surged to $82.93 the following session (+17.2%), reflecting the broad-based beat and margin expansion surprise. The stock subsequently pulled back to the low-to-mid $70s through June as Middle East concerns and the broader market softness weighed, before recovering to the $79–$84 range in late June/July. As of August 4, 2026, IFF is indexed at ~114 vs. the May 5 close, compared to XLB at ~99 and SPY at ~105. </w:t>
      </w:r>
    </w:p>
    <w:p>
      <w:r>
        <w:rPr>
          <w:rFonts w:ascii="Calibri" w:hAnsi="Calibri"/>
          <w:b/>
          <w:color w:val="525866"/>
          <w:sz w:val="22"/>
        </w:rPr>
        <w:t>Key events since Q1 earnings:</w:t>
      </w:r>
    </w:p>
    <w:p>
      <w:pPr>
        <w:pStyle w:val="ListBullet"/>
        <w:ind w:left="360" w:hanging="360"/>
      </w:pPr>
      <w:r>
        <w:rPr>
          <w:rFonts w:ascii="Calibri" w:hAnsi="Calibri"/>
          <w:b/>
          <w:color w:val="525866"/>
          <w:sz w:val="22"/>
        </w:rPr>
        <w:t>May 5, 2026:</w:t>
      </w:r>
      <w:r>
        <w:rPr>
          <w:rFonts w:ascii="Calibri" w:hAnsi="Calibri"/>
          <w:color w:val="525866"/>
          <w:sz w:val="22"/>
        </w:rPr>
        <w:t xml:space="preserve"> Q1 2026 earnings beat — stock +17% the next session.</w:t>
      </w:r>
    </w:p>
    <w:p>
      <w:pPr>
        <w:pStyle w:val="ListBullet"/>
        <w:ind w:left="360" w:hanging="360"/>
      </w:pPr>
      <w:r>
        <w:rPr>
          <w:rFonts w:ascii="Calibri" w:hAnsi="Calibri"/>
          <w:b/>
          <w:color w:val="525866"/>
          <w:sz w:val="22"/>
        </w:rPr>
        <w:t>June 23, 2026:</w:t>
      </w:r>
      <w:r>
        <w:rPr>
          <w:rFonts w:ascii="Calibri" w:hAnsi="Calibri"/>
          <w:color w:val="525866"/>
          <w:sz w:val="22"/>
        </w:rPr>
        <w:t xml:space="preserve"> IFF secured a $1B term loan for debt refinancing (8-K filed). Modest positive for balance sheet flexibility.</w:t>
      </w:r>
    </w:p>
    <w:p>
      <w:pPr>
        <w:pStyle w:val="ListBullet"/>
        <w:ind w:left="360" w:hanging="360"/>
      </w:pPr>
      <w:r>
        <w:rPr>
          <w:rFonts w:ascii="Calibri" w:hAnsi="Calibri"/>
          <w:b/>
          <w:color w:val="525866"/>
          <w:sz w:val="22"/>
        </w:rPr>
        <w:t>June 30, 2026:</w:t>
      </w:r>
      <w:r>
        <w:rPr>
          <w:rFonts w:ascii="Calibri" w:hAnsi="Calibri"/>
          <w:color w:val="525866"/>
          <w:sz w:val="22"/>
        </w:rPr>
        <w:t xml:space="preserve"> Argus raised price target to $85 from $80 (Buy). Stock near $76 at the time.</w:t>
      </w:r>
    </w:p>
    <w:p>
      <w:pPr>
        <w:pStyle w:val="ListBullet"/>
        <w:ind w:left="360" w:hanging="360"/>
      </w:pPr>
      <w:r>
        <w:rPr>
          <w:rFonts w:ascii="Calibri" w:hAnsi="Calibri"/>
          <w:b/>
          <w:color w:val="525866"/>
          <w:sz w:val="22"/>
        </w:rPr>
        <w:t>July 9, 2026:</w:t>
      </w:r>
      <w:r>
        <w:rPr>
          <w:rFonts w:ascii="Calibri" w:hAnsi="Calibri"/>
          <w:color w:val="525866"/>
          <w:sz w:val="22"/>
        </w:rPr>
        <w:t xml:space="preserve"> IFF announced Q2 2026 results release date of August 4, 2026.</w:t>
      </w:r>
    </w:p>
    <w:p>
      <w:r>
        <w:rPr>
          <w:rFonts w:ascii="Calibri" w:hAnsi="Calibri"/>
          <w:b/>
          <w:color w:val="525866"/>
          <w:sz w:val="22"/>
        </w:rPr>
        <w:t xml:space="preserve">Analyst sentiment: </w:t>
      </w:r>
      <w:r>
        <w:rPr>
          <w:rFonts w:ascii="Calibri" w:hAnsi="Calibri"/>
          <w:color w:val="525866"/>
          <w:sz w:val="22"/>
        </w:rPr>
        <w:t>13 Buy / 5 Hold ratings; consensus price target ~$91 (as of early August 2026), implying ~13% upside from current levels. Jefferies has the highest target at $105; Berenberg has the lowest at $84.80 (Hold). Citigroup cut its target from $96 to $88 on June 24 (still Buy), while Barclays raised to $90 (Overweight) and Oppenheimer raised to $90 (Outperform) post-Q1 earnings.</w:t>
      </w:r>
    </w:p>
    <w:p>
      <w:r>
        <w:rPr>
          <w:rFonts w:ascii="Calibri" w:hAnsi="Calibri"/>
          <w:i/>
          <w:color w:val="525866"/>
          <w:sz w:val="22"/>
        </w:rPr>
        <w:t>Source: Yahoo Finance (stock price data); MarketBeat / public analyst reports (ratings).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pending Food Ingredients divestiture update — management committed to providing an update by Q2 earnings, and any deal announcement would be a significant positive catalyst. The $1B debt refinancing in June is a secondary positive for balance sheet flexibility.</w:t>
      </w:r>
    </w:p>
    <w:p>
      <w:pPr>
        <w:pStyle w:val="ListBullet"/>
        <w:ind w:left="360" w:hanging="360"/>
      </w:pPr>
      <w:r>
        <w:rPr>
          <w:rFonts w:ascii="Calibri" w:hAnsi="Calibri"/>
          <w:b/>
          <w:color w:val="525866"/>
          <w:sz w:val="22"/>
        </w:rPr>
        <w:t>August 4, 2026 — Q2 2026 Earnings Release (today):</w:t>
      </w:r>
      <w:r>
        <w:rPr>
          <w:rFonts w:ascii="Calibri" w:hAnsi="Calibri"/>
          <w:color w:val="525866"/>
          <w:sz w:val="22"/>
        </w:rPr>
        <w:t xml:space="preserve"> IFF reports Q2 2026 results. Key focus areas: (1) Food Ingredients divestiture update — management promised an update by this call; (2) Q2 EBITDA vs. guided-down expectations; (3) H2 2026 recovery confidence; (4) Middle East fine fragrance volume trajectory. </w:t>
      </w:r>
      <w:r>
        <w:rPr>
          <w:rFonts w:ascii="Calibri" w:hAnsi="Calibri"/>
          <w:b/>
          <w:color w:val="525866"/>
          <w:sz w:val="22"/>
        </w:rPr>
        <w:t>Implication:</w:t>
      </w:r>
      <w:r>
        <w:rPr>
          <w:rFonts w:ascii="Calibri" w:hAnsi="Calibri"/>
          <w:color w:val="525866"/>
          <w:sz w:val="22"/>
        </w:rPr>
        <w:t xml:space="preserve"> A deal announcement on Food Ingredients could be the single biggest re-rating catalyst.</w:t>
      </w:r>
    </w:p>
    <w:p>
      <w:pPr>
        <w:pStyle w:val="ListBullet"/>
        <w:ind w:left="360" w:hanging="360"/>
      </w:pPr>
      <w:r>
        <w:rPr>
          <w:rFonts w:ascii="Calibri" w:hAnsi="Calibri"/>
          <w:b/>
          <w:color w:val="525866"/>
          <w:sz w:val="22"/>
        </w:rPr>
        <w:t>June 23, 2026 — $1 Billion Term Loan Refinancing (8-K):</w:t>
      </w:r>
      <w:r>
        <w:rPr>
          <w:rFonts w:ascii="Calibri" w:hAnsi="Calibri"/>
          <w:color w:val="525866"/>
          <w:sz w:val="22"/>
        </w:rPr>
        <w:t xml:space="preserve"> IFF secured a new $1B term loan to refinance existing debt, extending the maturity profile. Net leverage remains at approximately 2.5x, below the 3x target achieved in 2025. </w:t>
      </w:r>
      <w:r>
        <w:rPr>
          <w:rFonts w:ascii="Calibri" w:hAnsi="Calibri"/>
          <w:b/>
          <w:color w:val="525866"/>
          <w:sz w:val="22"/>
        </w:rPr>
        <w:t>Implication:</w:t>
      </w:r>
      <w:r>
        <w:rPr>
          <w:rFonts w:ascii="Calibri" w:hAnsi="Calibri"/>
          <w:color w:val="525866"/>
          <w:sz w:val="22"/>
        </w:rPr>
        <w:t xml:space="preserve"> Positive for financial flexibility; supports the $500M share buyback authorization. No change to operating guidance.</w:t>
      </w:r>
    </w:p>
    <w:p>
      <w:pPr>
        <w:pStyle w:val="ListBullet"/>
        <w:ind w:left="360" w:hanging="360"/>
      </w:pPr>
      <w:r>
        <w:rPr>
          <w:rFonts w:ascii="Calibri" w:hAnsi="Calibri"/>
          <w:b/>
          <w:color w:val="525866"/>
          <w:sz w:val="22"/>
        </w:rPr>
        <w:t>May 6, 2026 — Q1 2026 Earnings Beat &amp; Guidance Reaffirmation:</w:t>
      </w:r>
      <w:r>
        <w:rPr>
          <w:rFonts w:ascii="Calibri" w:hAnsi="Calibri"/>
          <w:color w:val="525866"/>
          <w:sz w:val="22"/>
        </w:rPr>
        <w:t xml:space="preserve"> IFF reported Q1 revenue of $2.741B and adj. EBITDA of $568M (highest margin since Q2 2022 at 20.7%), beating consensus on both metrics. Full-year guidance reaffirmed at $10.5B–$10.8B revenue and $2.05B–$2.15B EBITDA. </w:t>
      </w:r>
      <w:r>
        <w:rPr>
          <w:rFonts w:ascii="Calibri" w:hAnsi="Calibri"/>
          <w:b/>
          <w:color w:val="525866"/>
          <w:sz w:val="22"/>
        </w:rPr>
        <w:t>Implication:</w:t>
      </w:r>
      <w:r>
        <w:rPr>
          <w:rFonts w:ascii="Calibri" w:hAnsi="Calibri"/>
          <w:color w:val="525866"/>
          <w:sz w:val="22"/>
        </w:rPr>
        <w:t xml:space="preserve"> Strong Q1 de-risks the full year; stock surged ~17% the next session.</w:t>
      </w:r>
    </w:p>
    <w:p>
      <w:pPr>
        <w:pStyle w:val="ListBullet"/>
        <w:ind w:left="360" w:hanging="360"/>
      </w:pPr>
      <w:r>
        <w:rPr>
          <w:rFonts w:ascii="Calibri" w:hAnsi="Calibri"/>
          <w:b/>
          <w:color w:val="525866"/>
          <w:sz w:val="22"/>
        </w:rPr>
        <w:t>March 2026 — Soy Crush / Lecithin Business Divested to Bunge for $110M:</w:t>
      </w:r>
      <w:r>
        <w:rPr>
          <w:rFonts w:ascii="Calibri" w:hAnsi="Calibri"/>
          <w:color w:val="525866"/>
          <w:sz w:val="22"/>
        </w:rPr>
        <w:t xml:space="preserve"> Closed ~1 month ahead of schedule (March 2 vs. April 1 original). Reduces commodity exposure within Food Ingredients. </w:t>
      </w:r>
      <w:r>
        <w:rPr>
          <w:rFonts w:ascii="Calibri" w:hAnsi="Calibri"/>
          <w:b/>
          <w:color w:val="525866"/>
          <w:sz w:val="22"/>
        </w:rPr>
        <w:t>Implication:</w:t>
      </w:r>
      <w:r>
        <w:rPr>
          <w:rFonts w:ascii="Calibri" w:hAnsi="Calibri"/>
          <w:color w:val="525866"/>
          <w:sz w:val="22"/>
        </w:rPr>
        <w:t xml:space="preserve"> Modestly dilutive to FY 2026 revenue (~2 months of contribution vs. 3 months in original guidance), but positive for portfolio quality.</w:t>
      </w:r>
    </w:p>
    <w:p>
      <w:pPr>
        <w:pStyle w:val="ListBullet"/>
        <w:ind w:left="360" w:hanging="360"/>
      </w:pPr>
      <w:r>
        <w:rPr>
          <w:rFonts w:ascii="Calibri" w:hAnsi="Calibri"/>
          <w:b/>
          <w:color w:val="525866"/>
          <w:sz w:val="22"/>
        </w:rPr>
        <w:t>Ongoing — Middle East Conflict Headwind:</w:t>
      </w:r>
      <w:r>
        <w:rPr>
          <w:rFonts w:ascii="Calibri" w:hAnsi="Calibri"/>
          <w:color w:val="525866"/>
          <w:sz w:val="22"/>
        </w:rPr>
        <w:t xml:space="preserve"> The conflict is creating fine fragrance volume softness (slower market demand + packaging supply chain disruptions for customers in the region) and energy/logistics cost inflation. IFF is implementing pricing surcharges to offset. </w:t>
      </w:r>
      <w:r>
        <w:rPr>
          <w:rFonts w:ascii="Calibri" w:hAnsi="Calibri"/>
          <w:b/>
          <w:color w:val="525866"/>
          <w:sz w:val="22"/>
        </w:rPr>
        <w:t>Implication:</w:t>
      </w:r>
      <w:r>
        <w:rPr>
          <w:rFonts w:ascii="Calibri" w:hAnsi="Calibri"/>
          <w:color w:val="525866"/>
          <w:sz w:val="22"/>
        </w:rPr>
        <w:t xml:space="preserve"> Q2 is the peak impact quarter; H2 recovery depends on surcharge implementation pace and conflict resolution. Ecolab (Q2 2026 earnings) confirmed a ~1% volume headwind from Middle East disruptions, validating IFF's exposure.</w:t>
      </w:r>
    </w:p>
    <w:p>
      <w:pPr>
        <w:pStyle w:val="ListBullet"/>
        <w:ind w:left="360" w:hanging="360"/>
      </w:pPr>
      <w:r>
        <w:rPr>
          <w:rFonts w:ascii="Calibri" w:hAnsi="Calibri"/>
          <w:b/>
          <w:color w:val="525866"/>
          <w:sz w:val="22"/>
        </w:rPr>
        <w:t>Ongoing — Health &amp; Biosciences North America Turnaround:</w:t>
      </w:r>
      <w:r>
        <w:rPr>
          <w:rFonts w:ascii="Calibri" w:hAnsi="Calibri"/>
          <w:color w:val="525866"/>
          <w:sz w:val="22"/>
        </w:rPr>
        <w:t xml:space="preserve"> New leadership executing improvement plan; H&amp;B North America expected to be flattish in H1 2026 and return to growth in H2, with full recovery in 2027. </w:t>
      </w:r>
      <w:r>
        <w:rPr>
          <w:rFonts w:ascii="Calibri" w:hAnsi="Calibri"/>
          <w:b/>
          <w:color w:val="525866"/>
          <w:sz w:val="22"/>
        </w:rPr>
        <w:t>Implication:</w:t>
      </w:r>
      <w:r>
        <w:rPr>
          <w:rFonts w:ascii="Calibri" w:hAnsi="Calibri"/>
          <w:color w:val="525866"/>
          <w:sz w:val="22"/>
        </w:rPr>
        <w:t xml:space="preserve"> Any early signs of H&amp;B North America inflection in Q2 would be a positive read-through for the 2027 growth acceleration thesis.</w:t>
      </w:r>
    </w:p>
    <w:p>
      <w:pPr>
        <w:pStyle w:val="ListBullet"/>
        <w:ind w:left="360" w:hanging="360"/>
      </w:pPr>
      <w:r>
        <w:rPr>
          <w:rFonts w:ascii="Calibri" w:hAnsi="Calibri"/>
          <w:b/>
          <w:color w:val="525866"/>
          <w:sz w:val="22"/>
        </w:rPr>
        <w:t>Analyst Rating Changes (Post-Q1 Earnings):</w:t>
      </w:r>
      <w:r>
        <w:rPr>
          <w:rFonts w:ascii="Calibri" w:hAnsi="Calibri"/>
          <w:color w:val="525866"/>
          <w:sz w:val="22"/>
        </w:rPr>
        <w:t xml:space="preserve"> Jefferies raised PT to $105 (Buy); Barclays raised to $90 (Overweight); Oppenheimer raised to $90 (Outperform); Berenberg raised to $84.80 (Hold); Argus raised to $85 (Buy, June 30). Citigroup cut PT from $96 to $88 (Buy, June 24). Weiss Ratings upgraded from Sell to Hold (May 6). </w:t>
      </w:r>
      <w:r>
        <w:rPr>
          <w:rFonts w:ascii="Calibri" w:hAnsi="Calibri"/>
          <w:b/>
          <w:color w:val="525866"/>
          <w:sz w:val="22"/>
        </w:rPr>
        <w:t>Implication:</w:t>
      </w:r>
      <w:r>
        <w:rPr>
          <w:rFonts w:ascii="Calibri" w:hAnsi="Calibri"/>
          <w:color w:val="525866"/>
          <w:sz w:val="22"/>
        </w:rPr>
        <w:t xml:space="preserve"> Broad constructive sentiment post-Q1; no downgrades since the print.</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Peer commentary from Q2 2026 reporting is broadly constructive for IFF: Givaudan's fine fragrance and consumer products growth validates IFF's Scent segment resilience, while Ecolab's Middle East volume headwind (~1%) and food &amp; beverage acceleration are directly relevant read-throughs. Eastman Chemical's stable specialty demand and pricing discipline are consistent with IFF's own pricing surcharge narrative. Avantor's commentary is less directly relevant but confirms improving pharma/biotech end markets that benefit IFF's Health &amp; Biosciences segment.</w:t>
      </w:r>
    </w:p>
    <w:p>
      <w:r>
        <w:rPr>
          <w:rFonts w:ascii="Calibri" w:hAnsi="Calibri"/>
          <w:i/>
          <w:color w:val="525866"/>
          <w:sz w:val="22"/>
        </w:rPr>
        <w:t>Note: Only commentary about Q2 2026 (the current reporting quarter) is included below. Prior-quarter results commentary has been excluded.</w:t>
      </w:r>
    </w:p>
    <w:p>
      <w:pPr>
        <w:pStyle w:val="Heading3"/>
      </w:pPr>
      <w:r>
        <w:rPr>
          <w:rFonts w:ascii="Calibri" w:hAnsi="Calibri"/>
          <w:b/>
          <w:color w:val="3B4259"/>
          <w:sz w:val="24"/>
        </w:rPr>
        <w:t>Givaudan (GIVN SW) — H1 2026 Earnings (July 23, 2026)</w:t>
      </w:r>
    </w:p>
    <w:p>
      <w:r>
        <w:rPr>
          <w:rFonts w:ascii="Calibri" w:hAnsi="Calibri"/>
          <w:b/>
          <w:color w:val="525866"/>
          <w:sz w:val="22"/>
        </w:rPr>
        <w:t xml:space="preserve">Relevance: </w:t>
      </w:r>
      <w:r>
        <w:rPr>
          <w:rFonts w:ascii="Calibri" w:hAnsi="Calibri"/>
          <w:color w:val="525866"/>
          <w:sz w:val="22"/>
        </w:rPr>
        <w:t>Givaudan is IFF's closest direct peer — both compete in flavors, fragrances, and specialty ingredients. Givaudan's H1 2026 results are the single most important read-through for IFF's Q2 2026 print.</w:t>
      </w:r>
    </w:p>
    <w:p>
      <w:pPr>
        <w:pStyle w:val="ListBullet"/>
        <w:ind w:left="360" w:hanging="360"/>
      </w:pPr>
      <w:r>
        <w:rPr>
          <w:rFonts w:ascii="Calibri" w:hAnsi="Calibri"/>
          <w:b/>
          <w:color w:val="525866"/>
          <w:sz w:val="22"/>
        </w:rPr>
        <w:t>Fine Fragrance grew +7.3% like-for-like in H1 2026</w:t>
      </w:r>
      <w:r>
        <w:rPr>
          <w:rFonts w:ascii="Calibri" w:hAnsi="Calibri"/>
          <w:color w:val="525866"/>
          <w:sz w:val="22"/>
        </w:rPr>
        <w:t xml:space="preserve">, building on a very strong +18% prior-year comparable. Broad geographic exposure and strong relationships with local, regional, and global customers supported the momentum. </w:t>
      </w:r>
      <w:r>
        <w:rPr>
          <w:rFonts w:ascii="Calibri" w:hAnsi="Calibri"/>
          <w:b/>
          <w:color w:val="525866"/>
          <w:sz w:val="22"/>
        </w:rPr>
        <w:t>IFF Read-Through:</w:t>
      </w:r>
      <w:r>
        <w:rPr>
          <w:rFonts w:ascii="Calibri" w:hAnsi="Calibri"/>
          <w:color w:val="525866"/>
          <w:sz w:val="22"/>
        </w:rPr>
        <w:t xml:space="preserve"> Positive for IFF's Scent segment. While IFF guided Q2 fine fragrance lower due to Middle East disruptions, Givaudan's broad-based growth suggests the underlying demand environment remains healthy outside the conflict zone. IFF's fine fragrance weakness appears more idiosyncratic (Middle East exposure) than structural.</w:t>
      </w:r>
    </w:p>
    <w:p>
      <w:pPr>
        <w:pStyle w:val="ListBullet"/>
        <w:ind w:left="360" w:hanging="360"/>
      </w:pPr>
      <w:r>
        <w:rPr>
          <w:rFonts w:ascii="Calibri" w:hAnsi="Calibri"/>
          <w:b/>
          <w:color w:val="525866"/>
          <w:sz w:val="22"/>
        </w:rPr>
        <w:t>Consumer Products (Fragrance) grew +9.2% like-for-like</w:t>
      </w:r>
      <w:r>
        <w:rPr>
          <w:rFonts w:ascii="Calibri" w:hAnsi="Calibri"/>
          <w:color w:val="525866"/>
          <w:sz w:val="22"/>
        </w:rPr>
        <w:t xml:space="preserve"> in H1 2026, with broad-based growth across customer groups (local, regional, global) and segments like fabric care. Customers are "investing in fragrance in their formulas." </w:t>
      </w:r>
      <w:r>
        <w:rPr>
          <w:rFonts w:ascii="Calibri" w:hAnsi="Calibri"/>
          <w:b/>
          <w:color w:val="525866"/>
          <w:sz w:val="22"/>
        </w:rPr>
        <w:t>IFF Read-Through:</w:t>
      </w:r>
      <w:r>
        <w:rPr>
          <w:rFonts w:ascii="Calibri" w:hAnsi="Calibri"/>
          <w:color w:val="525866"/>
          <w:sz w:val="22"/>
        </w:rPr>
        <w:t xml:space="preserve"> Positive for IFF's Consumer Fragrances business within Scent. Suggests the consumer products fragrance market is healthy and customers are not cutting fragrance spend.</w:t>
      </w:r>
    </w:p>
    <w:p>
      <w:pPr>
        <w:pStyle w:val="ListBullet"/>
        <w:ind w:left="360" w:hanging="360"/>
      </w:pPr>
      <w:r>
        <w:rPr>
          <w:rFonts w:ascii="Calibri" w:hAnsi="Calibri"/>
          <w:b/>
          <w:color w:val="525866"/>
          <w:sz w:val="22"/>
        </w:rPr>
        <w:t>Fragrance Ingredients &amp; Active Beauty declined -4.1% like-for-like</w:t>
      </w:r>
      <w:r>
        <w:rPr>
          <w:rFonts w:ascii="Calibri" w:hAnsi="Calibri"/>
          <w:color w:val="525866"/>
          <w:sz w:val="22"/>
        </w:rPr>
        <w:t xml:space="preserve">, with Fragrance Ingredients facing "price competition in parts of its portfolio." </w:t>
      </w:r>
      <w:r>
        <w:rPr>
          <w:rFonts w:ascii="Calibri" w:hAnsi="Calibri"/>
          <w:b/>
          <w:color w:val="525866"/>
          <w:sz w:val="22"/>
        </w:rPr>
        <w:t>IFF Read-Through:</w:t>
      </w:r>
      <w:r>
        <w:rPr>
          <w:rFonts w:ascii="Calibri" w:hAnsi="Calibri"/>
          <w:color w:val="525866"/>
          <w:sz w:val="22"/>
        </w:rPr>
        <w:t xml:space="preserve"> Directly validates IFF's own commentary about Fragrance Ingredients commodity pressure. IFF is de-emphasizing external commodity sales (~$250M/year) — Givaudan's data confirms this is the right strategic call.</w:t>
      </w:r>
    </w:p>
    <w:p>
      <w:pPr>
        <w:pStyle w:val="ListBullet"/>
        <w:ind w:left="360" w:hanging="360"/>
      </w:pPr>
      <w:r>
        <w:rPr>
          <w:rFonts w:ascii="Calibri" w:hAnsi="Calibri"/>
          <w:b/>
          <w:color w:val="525866"/>
          <w:sz w:val="22"/>
        </w:rPr>
        <w:t>Taste &amp; Wellbeing grew +0.5% like-for-like in H1 2026</w:t>
      </w:r>
      <w:r>
        <w:rPr>
          <w:rFonts w:ascii="Calibri" w:hAnsi="Calibri"/>
          <w:color w:val="525866"/>
          <w:sz w:val="22"/>
        </w:rPr>
        <w:t xml:space="preserve">, with Q2 accelerating to +1.5% from -0.4% in Q1. North America remained volatile at -1.5% LFL; SAMIR (South Asia, Middle East, Africa) recovered strongly at +8.1% in Q2. </w:t>
      </w:r>
      <w:r>
        <w:rPr>
          <w:rFonts w:ascii="Calibri" w:hAnsi="Calibri"/>
          <w:b/>
          <w:color w:val="525866"/>
          <w:sz w:val="22"/>
        </w:rPr>
        <w:t>IFF Read-Through:</w:t>
      </w:r>
      <w:r>
        <w:rPr>
          <w:rFonts w:ascii="Calibri" w:hAnsi="Calibri"/>
          <w:color w:val="525866"/>
          <w:sz w:val="22"/>
        </w:rPr>
        <w:t xml:space="preserve"> Mixed for IFF's Nourish/Taste segment. North America softness is consistent with IFF's cautious tone, but the sequential Q2 improvement is encouraging. GLP-1 and natural colors are cited as growth drivers — areas where IFF also has exposure.</w:t>
      </w:r>
    </w:p>
    <w:p>
      <w:pPr>
        <w:pStyle w:val="ListBullet"/>
        <w:ind w:left="360" w:hanging="360"/>
      </w:pPr>
      <w:r>
        <w:rPr>
          <w:rFonts w:ascii="Calibri" w:hAnsi="Calibri"/>
          <w:b/>
          <w:color w:val="525866"/>
          <w:sz w:val="22"/>
        </w:rPr>
        <w:t>Adjusted EBITDA margin was 24.3% in H1 2026</w:t>
      </w:r>
      <w:r>
        <w:rPr>
          <w:rFonts w:ascii="Calibri" w:hAnsi="Calibri"/>
          <w:color w:val="525866"/>
          <w:sz w:val="22"/>
        </w:rPr>
        <w:t xml:space="preserve"> vs. 25.2% in H1 2025, impacted by $103M of non-recurring costs (litigation/settlements). Underlying margin pressure from input cost inflation (low single-digit in H2) is being offset by pricing. </w:t>
      </w:r>
      <w:r>
        <w:rPr>
          <w:rFonts w:ascii="Calibri" w:hAnsi="Calibri"/>
          <w:b/>
          <w:color w:val="525866"/>
          <w:sz w:val="22"/>
        </w:rPr>
        <w:t>IFF Read-Through:</w:t>
      </w:r>
      <w:r>
        <w:rPr>
          <w:rFonts w:ascii="Calibri" w:hAnsi="Calibri"/>
          <w:color w:val="525866"/>
          <w:sz w:val="22"/>
        </w:rPr>
        <w:t xml:space="preserve"> Margin pressure from input costs is a shared theme; IFF's pricing surcharge strategy is consistent with Givaudan's approach.</w:t>
      </w:r>
    </w:p>
    <w:p>
      <w:pPr>
        <w:pStyle w:val="ListBullet"/>
        <w:ind w:left="360" w:hanging="360"/>
      </w:pPr>
      <w:r>
        <w:rPr>
          <w:rFonts w:ascii="Calibri" w:hAnsi="Calibri"/>
          <w:b/>
          <w:color w:val="525866"/>
          <w:sz w:val="22"/>
        </w:rPr>
        <w:t>Outlook:</w:t>
      </w:r>
      <w:r>
        <w:rPr>
          <w:rFonts w:ascii="Calibri" w:hAnsi="Calibri"/>
          <w:color w:val="525866"/>
          <w:sz w:val="22"/>
        </w:rPr>
        <w:t xml:space="preserve"> Givaudan expects "continued strong momentum in fragrance and beauty and the start of a sequential recovery in taste and wellbeing" in H2 2026. Input cost inflation expected to be low single-digit in H2, with pricing broadly offsetting.</w:t>
      </w:r>
    </w:p>
    <w:p>
      <w:pPr>
        <w:pStyle w:val="Heading3"/>
      </w:pPr>
      <w:r>
        <w:rPr>
          <w:rFonts w:ascii="Calibri" w:hAnsi="Calibri"/>
          <w:b/>
          <w:color w:val="3B4259"/>
          <w:sz w:val="24"/>
        </w:rPr>
        <w:t>Ecolab (ECL) — Q2 2026 Earnings (July 28, 2026)</w:t>
      </w:r>
    </w:p>
    <w:p>
      <w:r>
        <w:rPr>
          <w:rFonts w:ascii="Calibri" w:hAnsi="Calibri"/>
          <w:b/>
          <w:color w:val="525866"/>
          <w:sz w:val="22"/>
        </w:rPr>
        <w:t xml:space="preserve">Relevance: </w:t>
      </w:r>
      <w:r>
        <w:rPr>
          <w:rFonts w:ascii="Calibri" w:hAnsi="Calibri"/>
          <w:color w:val="525866"/>
          <w:sz w:val="22"/>
        </w:rPr>
        <w:t>Ecolab serves food &amp; beverage, institutional, and life sciences end markets that overlap with IFF's Nourish, Food Ingredients, and Health &amp; Biosciences segments. Ecolab also cited Middle East headwinds, providing a direct read-through on the conflict's demand impact.</w:t>
      </w:r>
    </w:p>
    <w:p>
      <w:pPr>
        <w:pStyle w:val="ListBullet"/>
        <w:ind w:left="360" w:hanging="360"/>
      </w:pPr>
      <w:r>
        <w:rPr>
          <w:rFonts w:ascii="Calibri" w:hAnsi="Calibri"/>
          <w:b/>
          <w:color w:val="525866"/>
          <w:sz w:val="22"/>
        </w:rPr>
        <w:t>Middle East conflict created a ~1% volume headwind in Q2 2026</w:t>
      </w:r>
      <w:r>
        <w:rPr>
          <w:rFonts w:ascii="Calibri" w:hAnsi="Calibri"/>
          <w:color w:val="525866"/>
          <w:sz w:val="22"/>
        </w:rPr>
        <w:t xml:space="preserve"> from disrupted customer operations. Ecolab noted: "We were all hoping that the Middle East will solve itself much earlier. Doesn't seem to be exactly the case right now." Volumes grew 1% despite this headwind; underlying growth would have been ~2% without it. </w:t>
      </w:r>
      <w:r>
        <w:rPr>
          <w:rFonts w:ascii="Calibri" w:hAnsi="Calibri"/>
          <w:b/>
          <w:color w:val="525866"/>
          <w:sz w:val="22"/>
        </w:rPr>
        <w:t>IFF Read-Through:</w:t>
      </w:r>
      <w:r>
        <w:rPr>
          <w:rFonts w:ascii="Calibri" w:hAnsi="Calibri"/>
          <w:color w:val="525866"/>
          <w:sz w:val="22"/>
        </w:rPr>
        <w:t xml:space="preserve"> Directly validates IFF's Q2 fine fragrance headwind from Middle East disruptions. The conflict is real and ongoing, but Ecolab's ability to grow volumes despite it suggests the impact is manageable and not demand-destructive at the macro level.</w:t>
      </w:r>
    </w:p>
    <w:p>
      <w:pPr>
        <w:pStyle w:val="ListBullet"/>
        <w:ind w:left="360" w:hanging="360"/>
      </w:pPr>
      <w:r>
        <w:rPr>
          <w:rFonts w:ascii="Calibri" w:hAnsi="Calibri"/>
          <w:b/>
          <w:color w:val="525866"/>
          <w:sz w:val="22"/>
        </w:rPr>
        <w:t>Food &amp; Beverage segment accelerated to +7% growth in Q2 2026</w:t>
      </w:r>
      <w:r>
        <w:rPr>
          <w:rFonts w:ascii="Calibri" w:hAnsi="Calibri"/>
          <w:color w:val="525866"/>
          <w:sz w:val="22"/>
        </w:rPr>
        <w:t xml:space="preserve">, at the high end of its 5–7% long-term target. Driven by the "one Ecolab" approach integrating food safety and water capabilities. Demand for producing safe food is "top of mind" for consumers. </w:t>
      </w:r>
      <w:r>
        <w:rPr>
          <w:rFonts w:ascii="Calibri" w:hAnsi="Calibri"/>
          <w:b/>
          <w:color w:val="525866"/>
          <w:sz w:val="22"/>
        </w:rPr>
        <w:t>IFF Read-Through:</w:t>
      </w:r>
      <w:r>
        <w:rPr>
          <w:rFonts w:ascii="Calibri" w:hAnsi="Calibri"/>
          <w:color w:val="525866"/>
          <w:sz w:val="22"/>
        </w:rPr>
        <w:t xml:space="preserve"> Positive for IFF's Nourish and Food Ingredients segments. Healthy food &amp; beverage end market activity supports IFF's volume growth thesis.</w:t>
      </w:r>
    </w:p>
    <w:p>
      <w:pPr>
        <w:pStyle w:val="ListBullet"/>
        <w:ind w:left="360" w:hanging="360"/>
      </w:pPr>
      <w:r>
        <w:rPr>
          <w:rFonts w:ascii="Calibri" w:hAnsi="Calibri"/>
          <w:b/>
          <w:color w:val="525866"/>
          <w:sz w:val="22"/>
        </w:rPr>
        <w:t>Life Sciences accelerated to +15% growth in Q2 2026</w:t>
      </w:r>
      <w:r>
        <w:rPr>
          <w:rFonts w:ascii="Calibri" w:hAnsi="Calibri"/>
          <w:color w:val="525866"/>
          <w:sz w:val="22"/>
        </w:rPr>
        <w:t xml:space="preserve">, driven by strong share gains in bioprocessing, pharma, and personal care. Segment achieved a mid-20% operating income margin. </w:t>
      </w:r>
      <w:r>
        <w:rPr>
          <w:rFonts w:ascii="Calibri" w:hAnsi="Calibri"/>
          <w:b/>
          <w:color w:val="525866"/>
          <w:sz w:val="22"/>
        </w:rPr>
        <w:t>IFF Read-Through:</w:t>
      </w:r>
      <w:r>
        <w:rPr>
          <w:rFonts w:ascii="Calibri" w:hAnsi="Calibri"/>
          <w:color w:val="525866"/>
          <w:sz w:val="22"/>
        </w:rPr>
        <w:t xml:space="preserve"> Positive for IFF's Health &amp; Biosciences segment. Bioprocessing and pharma end market strength is a tailwind for IFF's enzyme and culture businesses.</w:t>
      </w:r>
    </w:p>
    <w:p>
      <w:pPr>
        <w:pStyle w:val="ListBullet"/>
        <w:ind w:left="360" w:hanging="360"/>
      </w:pPr>
      <w:r>
        <w:rPr>
          <w:rFonts w:ascii="Calibri" w:hAnsi="Calibri"/>
          <w:b/>
          <w:color w:val="525866"/>
          <w:sz w:val="22"/>
        </w:rPr>
        <w:t>Pricing strengthened to 4% in Q2 2026</w:t>
      </w:r>
      <w:r>
        <w:rPr>
          <w:rFonts w:ascii="Calibri" w:hAnsi="Calibri"/>
          <w:color w:val="525866"/>
          <w:sz w:val="22"/>
        </w:rPr>
        <w:t xml:space="preserve">, with H2 expected at 5–6%. Commodity costs expected to increase ~9% for the full year; pricing is expected to be ~2x inflationary headwinds in H2. </w:t>
      </w:r>
      <w:r>
        <w:rPr>
          <w:rFonts w:ascii="Calibri" w:hAnsi="Calibri"/>
          <w:b/>
          <w:color w:val="525866"/>
          <w:sz w:val="22"/>
        </w:rPr>
        <w:t>IFF Read-Through:</w:t>
      </w:r>
      <w:r>
        <w:rPr>
          <w:rFonts w:ascii="Calibri" w:hAnsi="Calibri"/>
          <w:color w:val="525866"/>
          <w:sz w:val="22"/>
        </w:rPr>
        <w:t xml:space="preserve"> Validates IFF's pricing surcharge strategy. If Ecolab can push 5–6% pricing in H2, IFF's more modest surcharge approach (logistics/energy pass-through) should face less customer resistance.</w:t>
      </w:r>
    </w:p>
    <w:p>
      <w:pPr>
        <w:pStyle w:val="ListBullet"/>
        <w:ind w:left="360" w:hanging="360"/>
      </w:pPr>
      <w:r>
        <w:rPr>
          <w:rFonts w:ascii="Calibri" w:hAnsi="Calibri"/>
          <w:b/>
          <w:color w:val="525866"/>
          <w:sz w:val="22"/>
        </w:rPr>
        <w:t>Full-year 2026 EPS guidance raised</w:t>
      </w:r>
      <w:r>
        <w:rPr>
          <w:rFonts w:ascii="Calibri" w:hAnsi="Calibri"/>
          <w:color w:val="525866"/>
          <w:sz w:val="22"/>
        </w:rPr>
        <w:t xml:space="preserve"> to $8.05–$8.25 (7–10% growth). Organic sales growth expected to accelerate to 6–7% in H2. </w:t>
      </w:r>
      <w:r>
        <w:rPr>
          <w:rFonts w:ascii="Calibri" w:hAnsi="Calibri"/>
          <w:b/>
          <w:color w:val="525866"/>
          <w:sz w:val="22"/>
        </w:rPr>
        <w:t>IFF Read-Through:</w:t>
      </w:r>
      <w:r>
        <w:rPr>
          <w:rFonts w:ascii="Calibri" w:hAnsi="Calibri"/>
          <w:color w:val="525866"/>
          <w:sz w:val="22"/>
        </w:rPr>
        <w:t xml:space="preserve"> Ecolab's raised guidance and H2 acceleration confidence is a positive read-through for specialty chemicals broadly.</w:t>
      </w:r>
    </w:p>
    <w:p>
      <w:pPr>
        <w:pStyle w:val="Heading3"/>
      </w:pPr>
      <w:r>
        <w:rPr>
          <w:rFonts w:ascii="Calibri" w:hAnsi="Calibri"/>
          <w:b/>
          <w:color w:val="3B4259"/>
          <w:sz w:val="24"/>
        </w:rPr>
        <w:t>Eastman Chemical (EMN) — Q2 2026 Earnings (July 31, 2026) &amp; Deutsche Bank Conference (June 3, 2026)</w:t>
      </w:r>
    </w:p>
    <w:p>
      <w:r>
        <w:rPr>
          <w:rFonts w:ascii="Calibri" w:hAnsi="Calibri"/>
          <w:b/>
          <w:color w:val="525866"/>
          <w:sz w:val="22"/>
        </w:rPr>
        <w:t xml:space="preserve">Relevance: </w:t>
      </w:r>
      <w:r>
        <w:rPr>
          <w:rFonts w:ascii="Calibri" w:hAnsi="Calibri"/>
          <w:color w:val="525866"/>
          <w:sz w:val="22"/>
        </w:rPr>
        <w:t>Eastman is a specialty chemicals peer with exposure to consumer, personal care, and pharma end markets. Commentary on pricing discipline, input cost dynamics, and consumer demand is relevant to IFF's operating environment.</w:t>
      </w:r>
    </w:p>
    <w:p>
      <w:pPr>
        <w:pStyle w:val="ListBullet"/>
        <w:ind w:left="360" w:hanging="360"/>
      </w:pPr>
      <w:r>
        <w:rPr>
          <w:rFonts w:ascii="Calibri" w:hAnsi="Calibri"/>
          <w:b/>
          <w:color w:val="525866"/>
          <w:sz w:val="22"/>
        </w:rPr>
        <w:t>Overall economic environment described as "incredibly weak"</w:t>
      </w:r>
      <w:r>
        <w:rPr>
          <w:rFonts w:ascii="Calibri" w:hAnsi="Calibri"/>
          <w:color w:val="525866"/>
          <w:sz w:val="22"/>
        </w:rPr>
        <w:t xml:space="preserve"> with brands "struggling" in consumer durables and consumer packaging. However, stable markets (pharma, water treatment, ag, personal care, aviation) are seeing "modest low single-digit growth." </w:t>
      </w:r>
      <w:r>
        <w:rPr>
          <w:rFonts w:ascii="Calibri" w:hAnsi="Calibri"/>
          <w:b/>
          <w:color w:val="525866"/>
          <w:sz w:val="22"/>
        </w:rPr>
        <w:t>IFF Read-Through:</w:t>
      </w:r>
      <w:r>
        <w:rPr>
          <w:rFonts w:ascii="Calibri" w:hAnsi="Calibri"/>
          <w:color w:val="525866"/>
          <w:sz w:val="22"/>
        </w:rPr>
        <w:t xml:space="preserve"> Consistent with IFF's cautious macro tone. IFF's end markets (flavors, fragrances, food ingredients) are more defensive than Eastman's consumer durables exposure, but the weak discretionary backdrop is a shared headwind.</w:t>
      </w:r>
    </w:p>
    <w:p>
      <w:pPr>
        <w:pStyle w:val="ListBullet"/>
        <w:ind w:left="360" w:hanging="360"/>
      </w:pPr>
      <w:r>
        <w:rPr>
          <w:rFonts w:ascii="Calibri" w:hAnsi="Calibri"/>
          <w:b/>
          <w:color w:val="525866"/>
          <w:sz w:val="22"/>
        </w:rPr>
        <w:t>Volumes trended well through Q2, building from April through June</w:t>
      </w:r>
      <w:r>
        <w:rPr>
          <w:rFonts w:ascii="Calibri" w:hAnsi="Calibri"/>
          <w:color w:val="525866"/>
          <w:sz w:val="22"/>
        </w:rPr>
        <w:t xml:space="preserve"> in a "normal" seasonal pattern. July orders "holding up well and on track." </w:t>
      </w:r>
      <w:r>
        <w:rPr>
          <w:rFonts w:ascii="Calibri" w:hAnsi="Calibri"/>
          <w:b/>
          <w:color w:val="525866"/>
          <w:sz w:val="22"/>
        </w:rPr>
        <w:t>IFF Read-Through:</w:t>
      </w:r>
      <w:r>
        <w:rPr>
          <w:rFonts w:ascii="Calibri" w:hAnsi="Calibri"/>
          <w:color w:val="525866"/>
          <w:sz w:val="22"/>
        </w:rPr>
        <w:t xml:space="preserve"> Positive volume trajectory through Q2 is encouraging for IFF's own volume trends.</w:t>
      </w:r>
    </w:p>
    <w:p>
      <w:pPr>
        <w:pStyle w:val="ListBullet"/>
        <w:ind w:left="360" w:hanging="360"/>
      </w:pPr>
      <w:r>
        <w:rPr>
          <w:rFonts w:ascii="Calibri" w:hAnsi="Calibri"/>
          <w:b/>
          <w:color w:val="525866"/>
          <w:sz w:val="22"/>
        </w:rPr>
        <w:t>Pricing discipline maintained</w:t>
      </w:r>
      <w:r>
        <w:rPr>
          <w:rFonts w:ascii="Calibri" w:hAnsi="Calibri"/>
          <w:color w:val="525866"/>
          <w:sz w:val="22"/>
        </w:rPr>
        <w:t xml:space="preserve"> with price increases implemented to cover raw material, energy, and distribution costs. Variable margin per kilogram "relatively stable since 2019." Price discipline expected to provide a tailwind in H2 vs. H1. </w:t>
      </w:r>
      <w:r>
        <w:rPr>
          <w:rFonts w:ascii="Calibri" w:hAnsi="Calibri"/>
          <w:b/>
          <w:color w:val="525866"/>
          <w:sz w:val="22"/>
        </w:rPr>
        <w:t>IFF Read-Through:</w:t>
      </w:r>
      <w:r>
        <w:rPr>
          <w:rFonts w:ascii="Calibri" w:hAnsi="Calibri"/>
          <w:color w:val="525866"/>
          <w:sz w:val="22"/>
        </w:rPr>
        <w:t xml:space="preserve"> Validates IFF's pricing surcharge approach. Eastman's success in holding pricing increases provides confidence that IFF's surcharges will stick.</w:t>
      </w:r>
    </w:p>
    <w:p>
      <w:pPr>
        <w:pStyle w:val="ListBullet"/>
        <w:ind w:left="360" w:hanging="360"/>
      </w:pPr>
      <w:r>
        <w:rPr>
          <w:rFonts w:ascii="Calibri" w:hAnsi="Calibri"/>
          <w:b/>
          <w:color w:val="525866"/>
          <w:sz w:val="22"/>
        </w:rPr>
        <w:t>Middle East impact: "not seeing any impact in the Mideast war yet on end market demand in a material way"</w:t>
      </w:r>
      <w:r>
        <w:rPr>
          <w:rFonts w:ascii="Calibri" w:hAnsi="Calibri"/>
          <w:color w:val="525866"/>
          <w:sz w:val="22"/>
        </w:rPr>
        <w:t xml:space="preserve"> across the broader portfolio, though Fibers segment has some exposure (~10% of tow revenue from Middle East). </w:t>
      </w:r>
      <w:r>
        <w:rPr>
          <w:rFonts w:ascii="Calibri" w:hAnsi="Calibri"/>
          <w:b/>
          <w:color w:val="525866"/>
          <w:sz w:val="22"/>
        </w:rPr>
        <w:t>IFF Read-Through:</w:t>
      </w:r>
      <w:r>
        <w:rPr>
          <w:rFonts w:ascii="Calibri" w:hAnsi="Calibri"/>
          <w:color w:val="525866"/>
          <w:sz w:val="22"/>
        </w:rPr>
        <w:t xml:space="preserve"> Eastman's limited Middle East demand impact (outside Fibers) suggests IFF's fine fragrance exposure is more specific to the luxury/fragrance supply chain than a broad demand destruction story.</w:t>
      </w:r>
    </w:p>
    <w:p>
      <w:pPr>
        <w:pStyle w:val="ListBullet"/>
        <w:ind w:left="360" w:hanging="360"/>
      </w:pPr>
      <w:r>
        <w:rPr>
          <w:rFonts w:ascii="Calibri" w:hAnsi="Calibri"/>
          <w:b/>
          <w:color w:val="525866"/>
          <w:sz w:val="22"/>
        </w:rPr>
        <w:t>Companies "holding out and using whatever inventory they have to hope for lower prices"</w:t>
      </w:r>
      <w:r>
        <w:rPr>
          <w:rFonts w:ascii="Calibri" w:hAnsi="Calibri"/>
          <w:color w:val="525866"/>
          <w:sz w:val="22"/>
        </w:rPr>
        <w:t xml:space="preserve"> — inventory destocking dynamic still present in some markets. </w:t>
      </w:r>
      <w:r>
        <w:rPr>
          <w:rFonts w:ascii="Calibri" w:hAnsi="Calibri"/>
          <w:b/>
          <w:color w:val="525866"/>
          <w:sz w:val="22"/>
        </w:rPr>
        <w:t>IFF Read-Through:</w:t>
      </w:r>
      <w:r>
        <w:rPr>
          <w:rFonts w:ascii="Calibri" w:hAnsi="Calibri"/>
          <w:color w:val="525866"/>
          <w:sz w:val="22"/>
        </w:rPr>
        <w:t xml:space="preserve"> Potential risk for IFF if customers delay orders in anticipation of lower raw material costs, though IFF's specialty/innovation-driven products are less susceptible to this dynamic than commodity chemicals.</w:t>
      </w:r>
    </w:p>
    <w:p>
      <w:pPr>
        <w:pStyle w:val="Heading3"/>
      </w:pPr>
      <w:r>
        <w:rPr>
          <w:rFonts w:ascii="Calibri" w:hAnsi="Calibri"/>
          <w:b/>
          <w:color w:val="3B4259"/>
          <w:sz w:val="24"/>
        </w:rPr>
        <w:t>Avantor (AVTR) — Q2 2026 Earnings (July 29, 2026)</w:t>
      </w:r>
    </w:p>
    <w:p>
      <w:r>
        <w:rPr>
          <w:rFonts w:ascii="Calibri" w:hAnsi="Calibri"/>
          <w:b/>
          <w:color w:val="525866"/>
          <w:sz w:val="22"/>
        </w:rPr>
        <w:t xml:space="preserve">Relevance: </w:t>
      </w:r>
      <w:r>
        <w:rPr>
          <w:rFonts w:ascii="Calibri" w:hAnsi="Calibri"/>
          <w:color w:val="525866"/>
          <w:sz w:val="22"/>
        </w:rPr>
        <w:t>Avantor serves biopharma, pharma, and biotech end markets that overlap with IFF's Health &amp; Biosciences segment (enzymes, cultures, probiotics for pharma applications). Commentary on pharma/biotech demand recovery is a read-through for IFF's H&amp;B turnaround.</w:t>
      </w:r>
    </w:p>
    <w:p>
      <w:pPr>
        <w:pStyle w:val="ListBullet"/>
        <w:ind w:left="360" w:hanging="360"/>
      </w:pPr>
      <w:r>
        <w:rPr>
          <w:rFonts w:ascii="Calibri" w:hAnsi="Calibri"/>
          <w:b/>
          <w:color w:val="525866"/>
          <w:sz w:val="22"/>
        </w:rPr>
        <w:t>Pharma and biotech customer activity provided a "modest tailwind" in Q2 2026</w:t>
      </w:r>
      <w:r>
        <w:rPr>
          <w:rFonts w:ascii="Calibri" w:hAnsi="Calibri"/>
          <w:color w:val="525866"/>
          <w:sz w:val="22"/>
        </w:rPr>
        <w:t xml:space="preserve">, particularly in the USA. "Funding is coming back to biotech and we see them spending money." BWR (Distribution) segment returned to growth earlier than anticipated (+1.7% organic). </w:t>
      </w:r>
      <w:r>
        <w:rPr>
          <w:rFonts w:ascii="Calibri" w:hAnsi="Calibri"/>
          <w:b/>
          <w:color w:val="525866"/>
          <w:sz w:val="22"/>
        </w:rPr>
        <w:t>IFF Read-Through:</w:t>
      </w:r>
      <w:r>
        <w:rPr>
          <w:rFonts w:ascii="Calibri" w:hAnsi="Calibri"/>
          <w:color w:val="525866"/>
          <w:sz w:val="22"/>
        </w:rPr>
        <w:t xml:space="preserve"> Positive for IFF's Health &amp; Biosciences segment. Improving pharma/biotech end market activity supports IFF's expectation that H&amp;B North America will return to growth in H2 2026.</w:t>
      </w:r>
    </w:p>
    <w:p>
      <w:pPr>
        <w:pStyle w:val="ListBullet"/>
        <w:ind w:left="360" w:hanging="360"/>
      </w:pPr>
      <w:r>
        <w:rPr>
          <w:rFonts w:ascii="Calibri" w:hAnsi="Calibri"/>
          <w:b/>
          <w:color w:val="525866"/>
          <w:sz w:val="22"/>
        </w:rPr>
        <w:t>BMP (Bioscience &amp; MedTech Products) declined -5.6% organically in Q2</w:t>
      </w:r>
      <w:r>
        <w:rPr>
          <w:rFonts w:ascii="Calibri" w:hAnsi="Calibri"/>
          <w:color w:val="525866"/>
          <w:sz w:val="22"/>
        </w:rPr>
        <w:t xml:space="preserve">, but delivered sequential revenue growth from Q1 to Q2 and is expected to return to organic growth in H2 2026. Double-digit order growth and book-to-bill of 1.1x. </w:t>
      </w:r>
      <w:r>
        <w:rPr>
          <w:rFonts w:ascii="Calibri" w:hAnsi="Calibri"/>
          <w:b/>
          <w:color w:val="525866"/>
          <w:sz w:val="22"/>
        </w:rPr>
        <w:t>IFF Read-Through:</w:t>
      </w:r>
      <w:r>
        <w:rPr>
          <w:rFonts w:ascii="Calibri" w:hAnsi="Calibri"/>
          <w:color w:val="525866"/>
          <w:sz w:val="22"/>
        </w:rPr>
        <w:t xml:space="preserve"> The sequential improvement and strong order book are encouraging for IFF's H&amp;B recovery narrative, though IFF's H&amp;B exposure is more in food/animal nutrition enzymes than pure biopharma.</w:t>
      </w:r>
    </w:p>
    <w:p>
      <w:pPr>
        <w:pStyle w:val="ListBullet"/>
        <w:ind w:left="360" w:hanging="360"/>
      </w:pPr>
      <w:r>
        <w:rPr>
          <w:rFonts w:ascii="Calibri" w:hAnsi="Calibri"/>
          <w:b/>
          <w:color w:val="525866"/>
          <w:sz w:val="22"/>
        </w:rPr>
        <w:t>Inflationary pressures on freight costs continue</w:t>
      </w:r>
      <w:r>
        <w:rPr>
          <w:rFonts w:ascii="Calibri" w:hAnsi="Calibri"/>
          <w:color w:val="525866"/>
          <w:sz w:val="22"/>
        </w:rPr>
        <w:t xml:space="preserve"> for both segments, but operational outperformance is enabling absorption. </w:t>
      </w:r>
      <w:r>
        <w:rPr>
          <w:rFonts w:ascii="Calibri" w:hAnsi="Calibri"/>
          <w:b/>
          <w:color w:val="525866"/>
          <w:sz w:val="22"/>
        </w:rPr>
        <w:t>IFF Read-Through:</w:t>
      </w:r>
      <w:r>
        <w:rPr>
          <w:rFonts w:ascii="Calibri" w:hAnsi="Calibri"/>
          <w:color w:val="525866"/>
          <w:sz w:val="22"/>
        </w:rPr>
        <w:t xml:space="preserve"> Consistent with IFF's energy and logistics inflation narrative; validates the need for pricing surcharges.</w:t>
      </w:r>
    </w:p>
    <w:p>
      <w:pPr>
        <w:pStyle w:val="ListBullet"/>
        <w:ind w:left="360" w:hanging="360"/>
      </w:pPr>
      <w:r>
        <w:rPr>
          <w:rFonts w:ascii="Calibri" w:hAnsi="Calibri"/>
          <w:b/>
          <w:color w:val="525866"/>
          <w:sz w:val="22"/>
        </w:rPr>
        <w:t>Full-year 2026 organic revenue growth and adjusted EPS guidance raised</w:t>
      </w:r>
      <w:r>
        <w:rPr>
          <w:rFonts w:ascii="Calibri" w:hAnsi="Calibri"/>
          <w:color w:val="525866"/>
          <w:sz w:val="22"/>
        </w:rPr>
        <w:t xml:space="preserve">. Management expressed confidence that "2027 will be a growth year." </w:t>
      </w:r>
      <w:r>
        <w:rPr>
          <w:rFonts w:ascii="Calibri" w:hAnsi="Calibri"/>
          <w:b/>
          <w:color w:val="525866"/>
          <w:sz w:val="22"/>
        </w:rPr>
        <w:t>IFF Read-Through:</w:t>
      </w:r>
      <w:r>
        <w:rPr>
          <w:rFonts w:ascii="Calibri" w:hAnsi="Calibri"/>
          <w:color w:val="525866"/>
          <w:sz w:val="22"/>
        </w:rPr>
        <w:t xml:space="preserve"> Raised guidance from a specialty life sciences peer is a positive read-through for the broader specialty ingredients sector.</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most notable signal is Director Paul Fribourg's open-market purchase of 13,500 shares (~$1.0M) on June 1, 2026 — a discretionary buy at ~$74/share, well below current levels, representing a meaningful vote of confidence from a board member. All other transactions since Q1 earnings are routine RSU vesting and tax-withholding events (Form 4 codes M/F), not discretionary trades.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b/>
                <w:sz w:val="22"/>
              </w:rPr>
              <w:t>FRIBOURG PAUL J</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13,500</w:t>
            </w:r>
          </w:p>
        </w:tc>
        <w:tc>
          <w:tcPr>
            <w:tcW w:type="dxa" w:w="1234"/>
          </w:tcPr>
          <w:p>
            <w:r>
              <w:rPr>
                <w:rFonts w:ascii="Calibri" w:hAnsi="Calibri"/>
                <w:sz w:val="22"/>
              </w:rPr>
              <w:t>~$1.0M</w:t>
            </w:r>
          </w:p>
        </w:tc>
        <w:tc>
          <w:tcPr>
            <w:tcW w:type="dxa" w:w="1234"/>
          </w:tcPr>
          <w:p>
            <w:r>
              <w:rPr>
                <w:rFonts w:ascii="Calibri" w:hAnsi="Calibri"/>
                <w:sz w:val="22"/>
              </w:rPr>
              <w:t>June 1, 2026</w:t>
            </w:r>
          </w:p>
        </w:tc>
        <w:tc>
          <w:tcPr>
            <w:tcW w:type="dxa" w:w="1234"/>
          </w:tcPr>
          <w:p>
            <w:r>
              <w:rPr>
                <w:rFonts w:ascii="Calibri" w:hAnsi="Calibri"/>
                <w:sz w:val="22"/>
              </w:rPr>
              <w:t>Discretionary purchase at ~$74/share. Significant size for a director; total holding 43,150 shares post-transaction. Bullish signal.</w:t>
            </w:r>
          </w:p>
        </w:tc>
      </w:tr>
      <w:tr>
        <w:tc>
          <w:tcPr>
            <w:tcW w:type="dxa" w:w="1234"/>
          </w:tcPr>
          <w:p>
            <w:r>
              <w:rPr>
                <w:rFonts w:ascii="Calibri" w:hAnsi="Calibri"/>
                <w:sz w:val="22"/>
              </w:rPr>
              <w:t>DeVeau Michael</w:t>
            </w:r>
          </w:p>
        </w:tc>
        <w:tc>
          <w:tcPr>
            <w:tcW w:type="dxa" w:w="1234"/>
          </w:tcPr>
          <w:p>
            <w:r>
              <w:rPr>
                <w:rFonts w:ascii="Calibri" w:hAnsi="Calibri"/>
                <w:sz w:val="22"/>
              </w:rPr>
              <w:t>EVP, CFO</w:t>
            </w:r>
          </w:p>
        </w:tc>
        <w:tc>
          <w:tcPr>
            <w:tcW w:type="dxa" w:w="1234"/>
          </w:tcPr>
          <w:p>
            <w:r>
              <w:rPr>
                <w:rFonts w:ascii="Calibri" w:hAnsi="Calibri"/>
                <w:sz w:val="22"/>
              </w:rPr>
              <w:t>RSU Vest / Tax Withholding</w:t>
            </w:r>
          </w:p>
        </w:tc>
        <w:tc>
          <w:tcPr>
            <w:tcW w:type="dxa" w:w="1234"/>
          </w:tcPr>
          <w:p>
            <w:r>
              <w:rPr>
                <w:rFonts w:ascii="Calibri" w:hAnsi="Calibri"/>
                <w:sz w:val="22"/>
              </w:rPr>
              <w:t>884 vested / 452 withheld</w:t>
            </w:r>
          </w:p>
        </w:tc>
        <w:tc>
          <w:tcPr>
            <w:tcW w:type="dxa" w:w="1234"/>
          </w:tcPr>
          <w:p>
            <w:r>
              <w:rPr>
                <w:rFonts w:ascii="Calibri" w:hAnsi="Calibri"/>
                <w:sz w:val="22"/>
              </w:rPr>
              <w:t>~$33K withheld</w:t>
            </w:r>
          </w:p>
        </w:tc>
        <w:tc>
          <w:tcPr>
            <w:tcW w:type="dxa" w:w="1234"/>
          </w:tcPr>
          <w:p>
            <w:r>
              <w:rPr>
                <w:rFonts w:ascii="Calibri" w:hAnsi="Calibri"/>
                <w:sz w:val="22"/>
              </w:rPr>
              <w:t>May 4, 2026</w:t>
            </w:r>
          </w:p>
        </w:tc>
        <w:tc>
          <w:tcPr>
            <w:tcW w:type="dxa" w:w="1234"/>
          </w:tcPr>
          <w:p>
            <w:r>
              <w:rPr>
                <w:rFonts w:ascii="Calibri" w:hAnsi="Calibri"/>
                <w:sz w:val="22"/>
              </w:rPr>
              <w:t>Routine RSU vesting (code M) with tax withholding (code F). Not a discretionary sale.</w:t>
            </w:r>
          </w:p>
        </w:tc>
      </w:tr>
      <w:tr>
        <w:tc>
          <w:tcPr>
            <w:tcW w:type="dxa" w:w="1234"/>
          </w:tcPr>
          <w:p>
            <w:r>
              <w:rPr>
                <w:rFonts w:ascii="Calibri" w:hAnsi="Calibri"/>
                <w:sz w:val="22"/>
              </w:rPr>
              <w:t>Borg Deborah</w:t>
            </w:r>
          </w:p>
        </w:tc>
        <w:tc>
          <w:tcPr>
            <w:tcW w:type="dxa" w:w="1234"/>
          </w:tcPr>
          <w:p>
            <w:r>
              <w:rPr>
                <w:rFonts w:ascii="Calibri" w:hAnsi="Calibri"/>
                <w:sz w:val="22"/>
              </w:rPr>
              <w:t>EVP, Chief People &amp; Culture Officer</w:t>
            </w:r>
          </w:p>
        </w:tc>
        <w:tc>
          <w:tcPr>
            <w:tcW w:type="dxa" w:w="1234"/>
          </w:tcPr>
          <w:p>
            <w:r>
              <w:rPr>
                <w:rFonts w:ascii="Calibri" w:hAnsi="Calibri"/>
                <w:sz w:val="22"/>
              </w:rPr>
              <w:t>RSU Vest / Tax Withholding</w:t>
            </w:r>
          </w:p>
        </w:tc>
        <w:tc>
          <w:tcPr>
            <w:tcW w:type="dxa" w:w="1234"/>
          </w:tcPr>
          <w:p>
            <w:r>
              <w:rPr>
                <w:rFonts w:ascii="Calibri" w:hAnsi="Calibri"/>
                <w:sz w:val="22"/>
              </w:rPr>
              <w:t>1,768 vested / 713 withheld</w:t>
            </w:r>
          </w:p>
        </w:tc>
        <w:tc>
          <w:tcPr>
            <w:tcW w:type="dxa" w:w="1234"/>
          </w:tcPr>
          <w:p>
            <w:r>
              <w:rPr>
                <w:rFonts w:ascii="Calibri" w:hAnsi="Calibri"/>
                <w:sz w:val="22"/>
              </w:rPr>
              <w:t>~$52K withheld</w:t>
            </w:r>
          </w:p>
        </w:tc>
        <w:tc>
          <w:tcPr>
            <w:tcW w:type="dxa" w:w="1234"/>
          </w:tcPr>
          <w:p>
            <w:r>
              <w:rPr>
                <w:rFonts w:ascii="Calibri" w:hAnsi="Calibri"/>
                <w:sz w:val="22"/>
              </w:rPr>
              <w:t>May 4, 2026</w:t>
            </w:r>
          </w:p>
        </w:tc>
        <w:tc>
          <w:tcPr>
            <w:tcW w:type="dxa" w:w="1234"/>
          </w:tcPr>
          <w:p>
            <w:r>
              <w:rPr>
                <w:rFonts w:ascii="Calibri" w:hAnsi="Calibri"/>
                <w:sz w:val="22"/>
              </w:rPr>
              <w:t>Routine RSU vesting with tax withholding. Not a discretionary sale.</w:t>
            </w:r>
          </w:p>
        </w:tc>
      </w:tr>
      <w:tr>
        <w:tc>
          <w:tcPr>
            <w:tcW w:type="dxa" w:w="1234"/>
          </w:tcPr>
          <w:p>
            <w:r>
              <w:rPr>
                <w:rFonts w:ascii="Calibri" w:hAnsi="Calibri"/>
                <w:sz w:val="22"/>
              </w:rPr>
              <w:t>Finzel Ralf</w:t>
            </w:r>
          </w:p>
        </w:tc>
        <w:tc>
          <w:tcPr>
            <w:tcW w:type="dxa" w:w="1234"/>
          </w:tcPr>
          <w:p>
            <w:r>
              <w:rPr>
                <w:rFonts w:ascii="Calibri" w:hAnsi="Calibri"/>
                <w:sz w:val="22"/>
              </w:rPr>
              <w:t>EVP, Global Operations Officer</w:t>
            </w:r>
          </w:p>
        </w:tc>
        <w:tc>
          <w:tcPr>
            <w:tcW w:type="dxa" w:w="1234"/>
          </w:tcPr>
          <w:p>
            <w:r>
              <w:rPr>
                <w:rFonts w:ascii="Calibri" w:hAnsi="Calibri"/>
                <w:sz w:val="22"/>
              </w:rPr>
              <w:t>RSU Vest / Tax Withholding</w:t>
            </w:r>
          </w:p>
        </w:tc>
        <w:tc>
          <w:tcPr>
            <w:tcW w:type="dxa" w:w="1234"/>
          </w:tcPr>
          <w:p>
            <w:r>
              <w:rPr>
                <w:rFonts w:ascii="Calibri" w:hAnsi="Calibri"/>
                <w:sz w:val="22"/>
              </w:rPr>
              <w:t>1,326 vested / 734 withheld</w:t>
            </w:r>
          </w:p>
        </w:tc>
        <w:tc>
          <w:tcPr>
            <w:tcW w:type="dxa" w:w="1234"/>
          </w:tcPr>
          <w:p>
            <w:r>
              <w:rPr>
                <w:rFonts w:ascii="Calibri" w:hAnsi="Calibri"/>
                <w:sz w:val="22"/>
              </w:rPr>
              <w:t>~$54K withheld</w:t>
            </w:r>
          </w:p>
        </w:tc>
        <w:tc>
          <w:tcPr>
            <w:tcW w:type="dxa" w:w="1234"/>
          </w:tcPr>
          <w:p>
            <w:r>
              <w:rPr>
                <w:rFonts w:ascii="Calibri" w:hAnsi="Calibri"/>
                <w:sz w:val="22"/>
              </w:rPr>
              <w:t>May 4, 2026</w:t>
            </w:r>
          </w:p>
        </w:tc>
        <w:tc>
          <w:tcPr>
            <w:tcW w:type="dxa" w:w="1234"/>
          </w:tcPr>
          <w:p>
            <w:r>
              <w:rPr>
                <w:rFonts w:ascii="Calibri" w:hAnsi="Calibri"/>
                <w:sz w:val="22"/>
              </w:rPr>
              <w:t>Routine RSU vesting with tax withholding. Not a discretionary sale.</w:t>
            </w:r>
          </w:p>
        </w:tc>
      </w:tr>
      <w:tr>
        <w:tc>
          <w:tcPr>
            <w:tcW w:type="dxa" w:w="1234"/>
          </w:tcPr>
          <w:p>
            <w:r>
              <w:rPr>
                <w:rFonts w:ascii="Calibri" w:hAnsi="Calibri"/>
                <w:sz w:val="22"/>
              </w:rPr>
              <w:t>Teles de Mendonca Ana Paula</w:t>
            </w:r>
          </w:p>
        </w:tc>
        <w:tc>
          <w:tcPr>
            <w:tcW w:type="dxa" w:w="1234"/>
          </w:tcPr>
          <w:p>
            <w:r>
              <w:rPr>
                <w:rFonts w:ascii="Calibri" w:hAnsi="Calibri"/>
                <w:sz w:val="22"/>
              </w:rPr>
              <w:t>President, Scent</w:t>
            </w:r>
          </w:p>
        </w:tc>
        <w:tc>
          <w:tcPr>
            <w:tcW w:type="dxa" w:w="1234"/>
          </w:tcPr>
          <w:p>
            <w:r>
              <w:rPr>
                <w:rFonts w:ascii="Calibri" w:hAnsi="Calibri"/>
                <w:sz w:val="22"/>
              </w:rPr>
              <w:t>RSU Vest / Tax Withholding</w:t>
            </w:r>
          </w:p>
        </w:tc>
        <w:tc>
          <w:tcPr>
            <w:tcW w:type="dxa" w:w="1234"/>
          </w:tcPr>
          <w:p>
            <w:r>
              <w:rPr>
                <w:rFonts w:ascii="Calibri" w:hAnsi="Calibri"/>
                <w:sz w:val="22"/>
              </w:rPr>
              <w:t>708 vested / 362 withheld</w:t>
            </w:r>
          </w:p>
        </w:tc>
        <w:tc>
          <w:tcPr>
            <w:tcW w:type="dxa" w:w="1234"/>
          </w:tcPr>
          <w:p>
            <w:r>
              <w:rPr>
                <w:rFonts w:ascii="Calibri" w:hAnsi="Calibri"/>
                <w:sz w:val="22"/>
              </w:rPr>
              <w:t>~$26K withheld</w:t>
            </w:r>
          </w:p>
        </w:tc>
        <w:tc>
          <w:tcPr>
            <w:tcW w:type="dxa" w:w="1234"/>
          </w:tcPr>
          <w:p>
            <w:r>
              <w:rPr>
                <w:rFonts w:ascii="Calibri" w:hAnsi="Calibri"/>
                <w:sz w:val="22"/>
              </w:rPr>
              <w:t>May 4, 2026</w:t>
            </w:r>
          </w:p>
        </w:tc>
        <w:tc>
          <w:tcPr>
            <w:tcW w:type="dxa" w:w="1234"/>
          </w:tcPr>
          <w:p>
            <w:r>
              <w:rPr>
                <w:rFonts w:ascii="Calibri" w:hAnsi="Calibri"/>
                <w:sz w:val="22"/>
              </w:rPr>
              <w:t>Routine RSU vesting with tax withholding. Not a discretionary sale.</w:t>
            </w:r>
          </w:p>
        </w:tc>
      </w:tr>
      <w:tr>
        <w:tc>
          <w:tcPr>
            <w:tcW w:type="dxa" w:w="1234"/>
          </w:tcPr>
          <w:p>
            <w:r>
              <w:rPr>
                <w:rFonts w:ascii="Calibri" w:hAnsi="Calibri"/>
                <w:sz w:val="22"/>
              </w:rPr>
              <w:t>Birenkrant Marc</w:t>
            </w:r>
          </w:p>
        </w:tc>
        <w:tc>
          <w:tcPr>
            <w:tcW w:type="dxa" w:w="1234"/>
          </w:tcPr>
          <w:p>
            <w:r>
              <w:rPr>
                <w:rFonts w:ascii="Calibri" w:hAnsi="Calibri"/>
                <w:sz w:val="22"/>
              </w:rPr>
              <w:t>Controller &amp; CAO</w:t>
            </w:r>
          </w:p>
        </w:tc>
        <w:tc>
          <w:tcPr>
            <w:tcW w:type="dxa" w:w="1234"/>
          </w:tcPr>
          <w:p>
            <w:r>
              <w:rPr>
                <w:rFonts w:ascii="Calibri" w:hAnsi="Calibri"/>
                <w:sz w:val="22"/>
              </w:rPr>
              <w:t>RSU Vest / Tax Withholding</w:t>
            </w:r>
          </w:p>
        </w:tc>
        <w:tc>
          <w:tcPr>
            <w:tcW w:type="dxa" w:w="1234"/>
          </w:tcPr>
          <w:p>
            <w:r>
              <w:rPr>
                <w:rFonts w:ascii="Calibri" w:hAnsi="Calibri"/>
                <w:sz w:val="22"/>
              </w:rPr>
              <w:t>389 vested / 141 withheld</w:t>
            </w:r>
          </w:p>
        </w:tc>
        <w:tc>
          <w:tcPr>
            <w:tcW w:type="dxa" w:w="1234"/>
          </w:tcPr>
          <w:p>
            <w:r>
              <w:rPr>
                <w:rFonts w:ascii="Calibri" w:hAnsi="Calibri"/>
                <w:sz w:val="22"/>
              </w:rPr>
              <w:t>~$10K withheld</w:t>
            </w:r>
          </w:p>
        </w:tc>
        <w:tc>
          <w:tcPr>
            <w:tcW w:type="dxa" w:w="1234"/>
          </w:tcPr>
          <w:p>
            <w:r>
              <w:rPr>
                <w:rFonts w:ascii="Calibri" w:hAnsi="Calibri"/>
                <w:sz w:val="22"/>
              </w:rPr>
              <w:t>May 4, 2026</w:t>
            </w:r>
          </w:p>
        </w:tc>
        <w:tc>
          <w:tcPr>
            <w:tcW w:type="dxa" w:w="1234"/>
          </w:tcPr>
          <w:p>
            <w:r>
              <w:rPr>
                <w:rFonts w:ascii="Calibri" w:hAnsi="Calibri"/>
                <w:sz w:val="22"/>
              </w:rPr>
              <w:t>Routine RSU vesting with tax withholding. Not a discretionary sale.</w:t>
            </w:r>
          </w:p>
        </w:tc>
      </w:tr>
      <w:tr>
        <w:tc>
          <w:tcPr>
            <w:tcW w:type="dxa" w:w="1234"/>
          </w:tcPr>
          <w:p>
            <w:r>
              <w:rPr>
                <w:rFonts w:ascii="Calibri" w:hAnsi="Calibri"/>
                <w:sz w:val="22"/>
              </w:rPr>
              <w:t>Multiple Directors (Fribourg, Jamison, Mantas, Willoughby)</w:t>
            </w:r>
          </w:p>
        </w:tc>
        <w:tc>
          <w:tcPr>
            <w:tcW w:type="dxa" w:w="1234"/>
          </w:tcPr>
          <w:p>
            <w:r>
              <w:rPr>
                <w:rFonts w:ascii="Calibri" w:hAnsi="Calibri"/>
                <w:sz w:val="22"/>
              </w:rPr>
              <w:t>Directors</w:t>
            </w:r>
          </w:p>
        </w:tc>
        <w:tc>
          <w:tcPr>
            <w:tcW w:type="dxa" w:w="1234"/>
          </w:tcPr>
          <w:p>
            <w:r>
              <w:rPr>
                <w:rFonts w:ascii="Calibri" w:hAnsi="Calibri"/>
                <w:sz w:val="22"/>
              </w:rPr>
              <w:t>Annual Director RSU Grant / Conversion</w:t>
            </w:r>
          </w:p>
        </w:tc>
        <w:tc>
          <w:tcPr>
            <w:tcW w:type="dxa" w:w="1234"/>
          </w:tcPr>
          <w:p>
            <w:r>
              <w:rPr>
                <w:rFonts w:ascii="Calibri" w:hAnsi="Calibri"/>
                <w:sz w:val="22"/>
              </w:rPr>
              <w:t>2,281–2,569 each</w:t>
            </w:r>
          </w:p>
        </w:tc>
        <w:tc>
          <w:tcPr>
            <w:tcW w:type="dxa" w:w="1234"/>
          </w:tcPr>
          <w:p>
            <w:r>
              <w:rPr>
                <w:rFonts w:ascii="Calibri" w:hAnsi="Calibri"/>
                <w:sz w:val="22"/>
              </w:rPr>
              <w:t>N/A (non-cash)</w:t>
            </w:r>
          </w:p>
        </w:tc>
        <w:tc>
          <w:tcPr>
            <w:tcW w:type="dxa" w:w="1234"/>
          </w:tcPr>
          <w:p>
            <w:r>
              <w:rPr>
                <w:rFonts w:ascii="Calibri" w:hAnsi="Calibri"/>
                <w:sz w:val="22"/>
              </w:rPr>
              <w:t>May 1, 2026</w:t>
            </w:r>
          </w:p>
        </w:tc>
        <w:tc>
          <w:tcPr>
            <w:tcW w:type="dxa" w:w="1234"/>
          </w:tcPr>
          <w:p>
            <w:r>
              <w:rPr>
                <w:rFonts w:ascii="Calibri" w:hAnsi="Calibri"/>
                <w:sz w:val="22"/>
              </w:rPr>
              <w:t>Annual director compensation RSU grant converted to stock equivalent units. Routine; not a market transaction.</w:t>
            </w:r>
          </w:p>
        </w:tc>
      </w:tr>
    </w:tbl>
    <w:p>
      <w:r>
        <w:rPr>
          <w:rFonts w:ascii="Calibri" w:hAnsi="Calibri"/>
          <w:i/>
          <w:color w:val="525866"/>
          <w:sz w:val="22"/>
        </w:rPr>
        <w:t>Source: SEC Form 4 Filings (Insider Transaction Data). Only open-market buys/sells (codes P/S) and RSU vesting events (codes M/F) are shown. No open-market sales were filed since Q1 earnings.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