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m-earnings-predictions--2026-08-05"/>
    <w:p>
      <w:pPr>
        <w:pStyle w:val="Heading1"/>
      </w:pPr>
      <w:r>
        <w:t xml:space="preserve">IRM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 vs. cons $1.40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~$1.99B vs. cons $1.97B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726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AFFO/share guidance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~$5.84-5.92 vs. cons $5.82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7.90</m:t>
              </m:r>
              <m:r>
                <m:rPr>
                  <m:sty m:val="p"/>
                </m:rPr>
                <m:t>−</m:t>
              </m:r>
              <m:r>
                <m:t>8.00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7.88B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new leasing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~55-65MW signed YTD / raise vs. ~100MW cons target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ALM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960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950M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Memory/component pricing trajectory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commentary ~stable/firm vs. cons expects moderation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Beat-and-raise cadence (4 straight AFFO beats, Q1 rev +</w:t>
            </w:r>
            <m:oMath>
              <m:r>
                <m:t>80</m:t>
              </m:r>
              <m:r>
                <m:t>M</m:t>
              </m:r>
              <m:r>
                <m:t>v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a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d</m:t>
              </m:r>
              <m:r>
                <m:t>a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t>p</m:t>
              </m:r>
              <m:r>
                <m:t>o</m:t>
              </m:r>
              <m:r>
                <m:t>p</m:t>
              </m:r>
              <m:r>
                <m:t>a</m:t>
              </m:r>
              <m:r>
                <m:t>n</m:t>
              </m:r>
              <m:r>
                <m:t>d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u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s</m:t>
              </m:r>
              <m:r>
                <m:t>i</m:t>
              </m:r>
              <m:r>
                <m:t>t</m:t>
              </m:r>
              <m:r>
                <m:t>s</m:t>
              </m:r>
              <m:r>
                <m:t>o</m:t>
              </m:r>
              <m:r>
                <m:t>n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i</m:t>
              </m:r>
              <m:r>
                <m:t>s</m:t>
              </m:r>
              <m:r>
                <m:t>c</m:t>
              </m:r>
              <m:r>
                <m:t>r</m:t>
              </m:r>
              <m:r>
                <m:t>o</m:t>
              </m:r>
              <m:r>
                <m:t>w</m:t>
              </m:r>
              <m:r>
                <m:t>d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b</m:t>
              </m:r>
              <m:r>
                <m:t>u</m:t>
              </m:r>
              <m:r>
                <m:t>l</m:t>
              </m:r>
              <m:r>
                <m:t>l</m:t>
              </m:r>
              <m:r>
                <m:t>i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t>t</m:t>
              </m:r>
              <m:r>
                <m:t>r</m:t>
              </m:r>
              <m:r>
                <m:t>o</m:t>
              </m:r>
              <m:r>
                <m:t>n</m:t>
              </m:r>
              <m:r>
                <m:t>g</m:t>
              </m:r>
              <m:r>
                <m:t>B</m:t>
              </m:r>
              <m:r>
                <m:t>u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 </m:t>
              </m:r>
              <m:r>
                <m:t>9</m:t>
              </m:r>
              <m:r>
                <m:rPr>
                  <m:sty m:val="p"/>
                </m:rPr>
                <m:t>/</m:t>
              </m:r>
              <m:r>
                <m:t>12</m:t>
              </m:r>
              <m:r>
                <m:t>b</m:t>
              </m:r>
              <m:r>
                <m:t>u</m:t>
              </m:r>
              <m:r>
                <m:t>y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h</m:t>
              </m:r>
              <m:r>
                <m:t>e</m:t>
              </m:r>
              <m:r>
                <m:t>m</m:t>
              </m:r>
              <m:r>
                <m:t>u</m:t>
              </m:r>
              <m:r>
                <m:t>l</m:t>
              </m:r>
              <m:r>
                <m:t>t</m:t>
              </m:r>
              <m:r>
                <m:t>i</m:t>
              </m:r>
              <m:r>
                <m:t>p</m:t>
              </m:r>
              <m:r>
                <m:t>l</m:t>
              </m:r>
              <m:r>
                <m:t>e</m:t>
              </m:r>
              <m:r>
                <m:t>i</m:t>
              </m:r>
              <m:r>
                <m:t>s</m:t>
              </m:r>
              <m:r>
                <m:t>a</m:t>
              </m:r>
              <m:r>
                <m:t>p</m:t>
              </m:r>
              <m:r>
                <m:t>r</m:t>
              </m:r>
              <m:r>
                <m:t>e</m:t>
              </m:r>
              <m:r>
                <m:t>m</m:t>
              </m:r>
              <m:r>
                <m:t>i</m:t>
              </m:r>
              <m:r>
                <m:t>u</m:t>
              </m:r>
              <m:r>
                <m:t>m</m:t>
              </m:r>
              <m:r>
                <m:t> </m:t>
              </m:r>
              <m:r>
                <m:t>21</m:t>
              </m:r>
              <m:r>
                <m:rPr>
                  <m:sty m:val="p"/>
                </m:rPr>
                <m:t>−</m:t>
              </m:r>
              <m:r>
                <m:t>22</m:t>
              </m:r>
              <m:r>
                <m:t>x</m:t>
              </m:r>
              <m:r>
                <m:t>A</m:t>
              </m:r>
              <m:r>
                <m:t>F</m:t>
              </m:r>
              <m:r>
                <m:t>F</m:t>
              </m:r>
              <m:r>
                <m:t>O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  <m:r>
                <m:t>6</m:t>
              </m:r>
            </m:oMath>
            <w:r>
              <w:t xml:space="preserve">133 target, and the tougher Q2 storage revenue-management comp caps out-period math. So initial gains partially fade toward stabilization once the raise is digested, unless the data-center leasing update is a clear step-change catalyst.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2026-08-05T00:12:24Z</dcterms:created>
  <dcterms:modified xsi:type="dcterms:W3CDTF">2026-08-05T00:12:24Z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