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irm-earnings-predictions--2026-08-05"/>
    <w:p>
      <w:pPr>
        <w:pStyle w:val="Heading1"/>
      </w:pPr>
      <w:r>
        <w:t xml:space="preserve">IRM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IRM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~$1.995B vs. cons $1.969B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IRM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AFFO per Share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~$1.44 vs. cons $1.40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IRM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~$725M vs. cons $715M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IRM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Revenue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7.95</m:t>
              </m:r>
              <m:r>
                <m:rPr>
                  <m:sty m:val="p"/>
                </m:rPr>
                <m:t>−</m:t>
              </m:r>
              <m:r>
                <m:t>8.05</m:t>
              </m:r>
              <m:r>
                <m:t>B</m:t>
              </m:r>
              <m:r>
                <m:rPr>
                  <m:sty m:val="p"/>
                </m:rPr>
                <m:t>(</m:t>
              </m:r>
              <m:r>
                <m:t>m</m:t>
              </m:r>
              <m:r>
                <m:t>i</m:t>
              </m:r>
              <m:r>
                <m:t>d</m:t>
              </m:r>
              <m:r>
                <m:t> </m:t>
              </m:r>
            </m:oMath>
            <w:r>
              <w:t xml:space="preserve">8.0B) vs. cons ~$7.89B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IRM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AFFO per Share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5.90</m:t>
              </m:r>
              <m:r>
                <m:rPr>
                  <m:sty m:val="p"/>
                </m:rPr>
                <m:t>−</m:t>
              </m:r>
              <m:r>
                <m:t>5.98</m:t>
              </m:r>
              <m:r>
                <m:rPr>
                  <m:sty m:val="p"/>
                </m:rPr>
                <m:t>(</m:t>
              </m:r>
              <m:r>
                <m:t>m</m:t>
              </m:r>
              <m:r>
                <m:t>i</m:t>
              </m:r>
              <m:r>
                <m:t>d</m:t>
              </m:r>
              <m:r>
                <m:t> </m:t>
              </m:r>
            </m:oMath>
            <w:r>
              <w:t xml:space="preserve">5.94) vs. cons ~$5.83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IRM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Data Center MW Leased Target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~130MW+ full-year vs. prior guide/cons of 100MW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IRM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IRM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-1.5% (FADE)</w:t>
            </w:r>
          </w:p>
        </w:tc>
        <w:tc>
          <w:tcPr/>
          <w:p>
            <w:pPr>
              <w:pStyle w:val="Compact"/>
            </w:pPr>
            <w:r>
              <w:t xml:space="preserve">Initial pop on a likely beat-and-raise fades over the week as investors book profits after the stock's ~51% YTD run and richly-priced 'high bar' setup; the tougher H2 revenue-management comp (2025 pricing actions weighted to Q2) and only incremental full-year raises (vs. Q1's much larger $95M+ raise) imply decelerating out-period growth math, prompting analysts to trim 2027 estimates even as they nudge 2026 up, capping follow-through despite a clean Q2 beat.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2026-08-05T00:15:18Z</dcterms:created>
  <dcterms:modified xsi:type="dcterms:W3CDTF">2026-08-05T00:15:18Z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