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m-earnings-predictions--2026-08-05"/>
    <w:p>
      <w:pPr>
        <w:pStyle w:val="Heading1"/>
      </w:pPr>
      <w:r>
        <w:t xml:space="preserve">IRM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~$2.00B vs. cons $1.97B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~$730M vs. cons $715M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 vs. cons $1.40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~$8.00B vs. cons $7.92B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~$3.00B vs. cons $2.96B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AFFO per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~$5.94 vs. cons $5.86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leasing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~140 MW vs. cons 125 MW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+4.1% (FOLLOW-THROUGH)</w:t>
            </w:r>
          </w:p>
        </w:tc>
        <w:tc>
          <w:tcPr/>
          <w:p>
            <w:pPr>
              <w:pStyle w:val="Compact"/>
            </w:pPr>
            <w:r>
              <w:t xml:space="preserve">A broad beat plus higher FY2026 midpoints should lift estimates beyond the reported-quarter upside: the predicted revenue, EBITDA and AFFO-per-share raises imply positive second-half revisions rather than merely absorbing the Q2 beat. A materially higher data-center leasing target would reinforce the out-period growth narrative, although the premium valuation limits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2026-08-05T00:14:06Z</dcterms:created>
  <dcterms:modified xsi:type="dcterms:W3CDTF">2026-08-05T00:14:06Z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