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7aaadd5b144d1b394c4e6cd90c486333aa4052a"/>
    <w:p>
      <w:pPr>
        <w:pStyle w:val="Heading1"/>
      </w:pPr>
      <w:r>
        <w:t xml:space="preserve">Iron Mountain (IRM) Q2 2026 Earnings Preview</w:t>
      </w:r>
    </w:p>
    <w:p>
      <w:pPr>
        <w:pStyle w:val="BlockText"/>
      </w:pPr>
      <w:r>
        <w:rPr>
          <w:b/>
          <w:bCs/>
        </w:rPr>
        <w:t xml:space="preserve">Timing note:</w:t>
      </w:r>
      <w:r>
        <w:t xml:space="preserve"> </w:t>
      </w:r>
      <w:r>
        <w:t xml:space="preserve">Iron Mountain’s official announcement schedules the Q2 release</w:t>
      </w:r>
      <w:r>
        <w:t xml:space="preserve"> </w:t>
      </w:r>
      <w:r>
        <w:rPr>
          <w:b/>
          <w:bCs/>
        </w:rPr>
        <w:t xml:space="preserve">before the market opens Wednesday, August 5, 2026</w:t>
      </w:r>
      <w:r>
        <w:t xml:space="preserve">, followed by the conference call at</w:t>
      </w:r>
      <w:r>
        <w:t xml:space="preserve"> </w:t>
      </w:r>
      <w:r>
        <w:rPr>
          <w:b/>
          <w:bCs/>
        </w:rPr>
        <w:t xml:space="preserve">8:30 a.m. Eastern Time that same day</w:t>
      </w:r>
      <w:r>
        <w:t xml:space="preserve">. That is today, not tomorrow. This preview reflects information available before the Q2 results were published.</w:t>
      </w:r>
    </w:p>
    <w:bookmarkStart w:id="9" w:name="investment-setup"/>
    <w:p>
      <w:pPr>
        <w:pStyle w:val="Heading2"/>
      </w:pPr>
      <w:r>
        <w:t xml:space="preserve">Investment setup</w:t>
      </w:r>
    </w:p>
    <w:p>
      <w:pPr>
        <w:pStyle w:val="FirstParagraph"/>
      </w:pPr>
      <w:r>
        <w:t xml:space="preserve">Iron Mountain enters the quarter with substantial momentum—and correspondingly high expectations.</w:t>
      </w:r>
    </w:p>
    <w:p>
      <w:pPr>
        <w:pStyle w:val="BodyText"/>
      </w:pPr>
      <w:r>
        <w:t xml:space="preserve">Q1 revenue, adjusted EBITDA, and AFFO each grew approximately 22%, while organic revenue growth reached 17%, its highest rate in more than 25 years. Management raised full-year guidance and said it expected data-center leasing to finish “meaningfully” above its initial 100-megawatt target.</w:t>
      </w:r>
    </w:p>
    <w:p>
      <w:pPr>
        <w:pStyle w:val="BodyText"/>
      </w:pPr>
      <w:r>
        <w:t xml:space="preserve">Investors have rewarded that execution. IRM closed August 4 at</w:t>
      </w:r>
      <w:r>
        <w:t xml:space="preserve"> </w:t>
      </w:r>
      <w:r>
        <w:rPr>
          <w:b/>
          <w:bCs/>
        </w:rPr>
        <w:t xml:space="preserve">$125.54</w:t>
      </w:r>
      <w:r>
        <w:t xml:space="preserve">, up approximately</w:t>
      </w:r>
      <w:r>
        <w:t xml:space="preserve"> </w:t>
      </w:r>
      <w:r>
        <w:rPr>
          <w:b/>
          <w:bCs/>
        </w:rPr>
        <w:t xml:space="preserve">51% from January 2</w:t>
      </w:r>
      <w:r>
        <w:t xml:space="preserve">. At that price, the shares trade around</w:t>
      </w:r>
      <w:r>
        <w:t xml:space="preserve"> </w:t>
      </w:r>
      <w:r>
        <w:rPr>
          <w:b/>
          <w:bCs/>
        </w:rPr>
        <w:t xml:space="preserve">21.6 times</w:t>
      </w:r>
      <w:r>
        <w:t xml:space="preserve"> </w:t>
      </w:r>
      <w:r>
        <w:t xml:space="preserve">the midpoint of management’s 2026 AFFO-per-share guidance and yield approximately</w:t>
      </w:r>
      <w:r>
        <w:t xml:space="preserve"> </w:t>
      </w:r>
      <w:r>
        <w:rPr>
          <w:b/>
          <w:bCs/>
        </w:rPr>
        <w:t xml:space="preserve">2.8%</w:t>
      </w:r>
      <w:r>
        <w:t xml:space="preserve"> </w:t>
      </w:r>
      <w:r>
        <w:t xml:space="preserve">on the current annualized dividend.</w:t>
      </w:r>
    </w:p>
    <w:p>
      <w:pPr>
        <w:pStyle w:val="BodyText"/>
      </w:pPr>
      <w:r>
        <w:t xml:space="preserve">That valuation changes the earnings hurdle. Merely meeting Q2 guidance may not be enough; the market will probably look for another beat, stronger leasing disclosures, and at least a modest increase in the full-year outlook.</w:t>
      </w:r>
    </w:p>
    <w:bookmarkEnd w:id="9"/>
    <w:bookmarkStart w:id="10" w:name="q2-benchmarks"/>
    <w:p>
      <w:pPr>
        <w:pStyle w:val="Heading2"/>
      </w:pPr>
      <w:r>
        <w:t xml:space="preserve">Q2 benchmarks</w:t>
      </w:r>
    </w:p>
    <w:p>
      <w:pPr>
        <w:pStyle w:val="FirstParagraph"/>
      </w:pPr>
      <w:r>
        <w:t xml:space="preserve">The most relevant benchmarks are management’s own Q2 projections: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guidance</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Approximately</w:t>
            </w:r>
            <w:r>
              <w:t xml:space="preserve"> </w:t>
            </w:r>
            <w:r>
              <w:rPr>
                <w:b/>
                <w:bCs/>
              </w:rPr>
              <w:t xml:space="preserve">$1.965B</w:t>
            </w:r>
          </w:p>
        </w:tc>
        <w:tc>
          <w:tcPr/>
          <w:p>
            <w:pPr>
              <w:pStyle w:val="Compact"/>
              <w:jc w:val="right"/>
            </w:pPr>
            <w:r>
              <w:t xml:space="preserve">$1.712B</w:t>
            </w:r>
          </w:p>
        </w:tc>
        <w:tc>
          <w:tcPr/>
          <w:p>
            <w:pPr>
              <w:pStyle w:val="Compact"/>
              <w:jc w:val="right"/>
            </w:pPr>
            <w:r>
              <w:t xml:space="preserve">~15%</w:t>
            </w:r>
          </w:p>
        </w:tc>
      </w:tr>
      <w:tr>
        <w:tc>
          <w:tcPr/>
          <w:p>
            <w:pPr>
              <w:pStyle w:val="Compact"/>
            </w:pPr>
            <w:r>
              <w:t xml:space="preserve">Adjusted EBITDA</w:t>
            </w:r>
          </w:p>
        </w:tc>
        <w:tc>
          <w:tcPr/>
          <w:p>
            <w:pPr>
              <w:pStyle w:val="Compact"/>
              <w:jc w:val="right"/>
            </w:pPr>
            <w:r>
              <w:t xml:space="preserve">Approximately</w:t>
            </w:r>
            <w:r>
              <w:t xml:space="preserve"> </w:t>
            </w:r>
            <w:r>
              <w:rPr>
                <w:b/>
                <w:bCs/>
              </w:rPr>
              <w:t xml:space="preserve">$715M</w:t>
            </w:r>
          </w:p>
        </w:tc>
        <w:tc>
          <w:tcPr/>
          <w:p>
            <w:pPr>
              <w:pStyle w:val="Compact"/>
              <w:jc w:val="right"/>
            </w:pPr>
            <w:r>
              <w:t xml:space="preserve">$628M</w:t>
            </w:r>
          </w:p>
        </w:tc>
        <w:tc>
          <w:tcPr/>
          <w:p>
            <w:pPr>
              <w:pStyle w:val="Compact"/>
              <w:jc w:val="right"/>
            </w:pPr>
            <w:r>
              <w:t xml:space="preserve">~14%</w:t>
            </w:r>
          </w:p>
        </w:tc>
      </w:tr>
      <w:tr>
        <w:tc>
          <w:tcPr/>
          <w:p>
            <w:pPr>
              <w:pStyle w:val="Compact"/>
            </w:pPr>
            <w:r>
              <w:t xml:space="preserve">AFFO</w:t>
            </w:r>
          </w:p>
        </w:tc>
        <w:tc>
          <w:tcPr/>
          <w:p>
            <w:pPr>
              <w:pStyle w:val="Compact"/>
              <w:jc w:val="right"/>
            </w:pPr>
            <w:r>
              <w:t xml:space="preserve">Approximately</w:t>
            </w:r>
            <w:r>
              <w:t xml:space="preserve"> </w:t>
            </w:r>
            <w:r>
              <w:rPr>
                <w:b/>
                <w:bCs/>
              </w:rPr>
              <w:t xml:space="preserve">$418M</w:t>
            </w:r>
          </w:p>
        </w:tc>
        <w:tc>
          <w:tcPr/>
          <w:p>
            <w:pPr>
              <w:pStyle w:val="Compact"/>
              <w:jc w:val="right"/>
            </w:pPr>
            <w:r>
              <w:t xml:space="preserve">$370M</w:t>
            </w:r>
          </w:p>
        </w:tc>
        <w:tc>
          <w:tcPr/>
          <w:p>
            <w:pPr>
              <w:pStyle w:val="Compact"/>
              <w:jc w:val="right"/>
            </w:pPr>
            <w:r>
              <w:t xml:space="preserve">~13%</w:t>
            </w:r>
          </w:p>
        </w:tc>
      </w:tr>
      <w:tr>
        <w:tc>
          <w:tcPr/>
          <w:p>
            <w:pPr>
              <w:pStyle w:val="Compact"/>
            </w:pPr>
            <w:r>
              <w:t xml:space="preserve">AFFO per share</w:t>
            </w:r>
          </w:p>
        </w:tc>
        <w:tc>
          <w:tcPr/>
          <w:p>
            <w:pPr>
              <w:pStyle w:val="Compact"/>
              <w:jc w:val="right"/>
            </w:pPr>
            <w:r>
              <w:t xml:space="preserve">Approximately</w:t>
            </w:r>
            <w:r>
              <w:t xml:space="preserve"> </w:t>
            </w:r>
            <w:r>
              <w:rPr>
                <w:b/>
                <w:bCs/>
              </w:rPr>
              <w:t xml:space="preserve">$1.40</w:t>
            </w:r>
          </w:p>
        </w:tc>
        <w:tc>
          <w:tcPr/>
          <w:p>
            <w:pPr>
              <w:pStyle w:val="Compact"/>
              <w:jc w:val="right"/>
            </w:pPr>
            <w:r>
              <w:t xml:space="preserve">$1.24</w:t>
            </w:r>
          </w:p>
        </w:tc>
        <w:tc>
          <w:tcPr/>
          <w:p>
            <w:pPr>
              <w:pStyle w:val="Compact"/>
              <w:jc w:val="right"/>
            </w:pPr>
            <w:r>
              <w:t xml:space="preserve">~13%</w:t>
            </w:r>
          </w:p>
        </w:tc>
      </w:tr>
    </w:tbl>
    <w:p>
      <w:pPr>
        <w:pStyle w:val="BodyText"/>
      </w:pPr>
      <w:r>
        <w:t xml:space="preserve">Compared with Q1, the guidance implies modest sequential growth in revenue and EBITDA but a small decline in AFFO: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Q2 guidance</w:t>
            </w:r>
          </w:p>
        </w:tc>
      </w:tr>
      <w:tr>
        <w:tc>
          <w:tcPr/>
          <w:p>
            <w:pPr>
              <w:pStyle w:val="Compact"/>
            </w:pPr>
            <w:r>
              <w:t xml:space="preserve">Revenue</w:t>
            </w:r>
          </w:p>
        </w:tc>
        <w:tc>
          <w:tcPr/>
          <w:p>
            <w:pPr>
              <w:pStyle w:val="Compact"/>
              <w:jc w:val="right"/>
            </w:pPr>
            <w:r>
              <w:t xml:space="preserve">$1.936B</w:t>
            </w:r>
          </w:p>
        </w:tc>
        <w:tc>
          <w:tcPr/>
          <w:p>
            <w:pPr>
              <w:pStyle w:val="Compact"/>
              <w:jc w:val="right"/>
            </w:pPr>
            <w:r>
              <w:t xml:space="preserve">~$1.965B</w:t>
            </w:r>
          </w:p>
        </w:tc>
      </w:tr>
      <w:tr>
        <w:tc>
          <w:tcPr/>
          <w:p>
            <w:pPr>
              <w:pStyle w:val="Compact"/>
            </w:pPr>
            <w:r>
              <w:t xml:space="preserve">Adjusted EBITDA</w:t>
            </w:r>
          </w:p>
        </w:tc>
        <w:tc>
          <w:tcPr/>
          <w:p>
            <w:pPr>
              <w:pStyle w:val="Compact"/>
              <w:jc w:val="right"/>
            </w:pPr>
            <w:r>
              <w:t xml:space="preserve">$708M</w:t>
            </w:r>
          </w:p>
        </w:tc>
        <w:tc>
          <w:tcPr/>
          <w:p>
            <w:pPr>
              <w:pStyle w:val="Compact"/>
              <w:jc w:val="right"/>
            </w:pPr>
            <w:r>
              <w:t xml:space="preserve">~$715M</w:t>
            </w:r>
          </w:p>
        </w:tc>
      </w:tr>
      <w:tr>
        <w:tc>
          <w:tcPr/>
          <w:p>
            <w:pPr>
              <w:pStyle w:val="Compact"/>
            </w:pPr>
            <w:r>
              <w:t xml:space="preserve">EBITDA margin</w:t>
            </w:r>
          </w:p>
        </w:tc>
        <w:tc>
          <w:tcPr/>
          <w:p>
            <w:pPr>
              <w:pStyle w:val="Compact"/>
              <w:jc w:val="right"/>
            </w:pPr>
            <w:r>
              <w:t xml:space="preserve">36.6%</w:t>
            </w:r>
          </w:p>
        </w:tc>
        <w:tc>
          <w:tcPr/>
          <w:p>
            <w:pPr>
              <w:pStyle w:val="Compact"/>
              <w:jc w:val="right"/>
            </w:pPr>
            <w:r>
              <w:t xml:space="preserve">~36.4% implied</w:t>
            </w:r>
          </w:p>
        </w:tc>
      </w:tr>
      <w:tr>
        <w:tc>
          <w:tcPr/>
          <w:p>
            <w:pPr>
              <w:pStyle w:val="Compact"/>
            </w:pPr>
            <w:r>
              <w:t xml:space="preserve">AFFO</w:t>
            </w:r>
          </w:p>
        </w:tc>
        <w:tc>
          <w:tcPr/>
          <w:p>
            <w:pPr>
              <w:pStyle w:val="Compact"/>
              <w:jc w:val="right"/>
            </w:pPr>
            <w:r>
              <w:t xml:space="preserve">$426M</w:t>
            </w:r>
          </w:p>
        </w:tc>
        <w:tc>
          <w:tcPr/>
          <w:p>
            <w:pPr>
              <w:pStyle w:val="Compact"/>
              <w:jc w:val="right"/>
            </w:pPr>
            <w:r>
              <w:t xml:space="preserve">~$418M</w:t>
            </w:r>
          </w:p>
        </w:tc>
      </w:tr>
      <w:tr>
        <w:tc>
          <w:tcPr/>
          <w:p>
            <w:pPr>
              <w:pStyle w:val="Compact"/>
            </w:pPr>
            <w:r>
              <w:t xml:space="preserve">AFFO/share</w:t>
            </w:r>
          </w:p>
        </w:tc>
        <w:tc>
          <w:tcPr/>
          <w:p>
            <w:pPr>
              <w:pStyle w:val="Compact"/>
              <w:jc w:val="right"/>
            </w:pPr>
            <w:r>
              <w:t xml:space="preserve">$1.43</w:t>
            </w:r>
          </w:p>
        </w:tc>
        <w:tc>
          <w:tcPr/>
          <w:p>
            <w:pPr>
              <w:pStyle w:val="Compact"/>
              <w:jc w:val="right"/>
            </w:pPr>
            <w:r>
              <w:t xml:space="preserve">~$1.40</w:t>
            </w:r>
          </w:p>
        </w:tc>
      </w:tr>
    </w:tbl>
    <w:p>
      <w:pPr>
        <w:pStyle w:val="BodyText"/>
      </w:pPr>
      <w:r>
        <w:t xml:space="preserve">A result close to those numbers would still represent strong year-over-year growth. But following Q1’s large outperformance, investors will likely judge the quarter against expectations for continued upside rather than against the prior-year comparison alone.</w:t>
      </w:r>
    </w:p>
    <w:bookmarkEnd w:id="10"/>
    <w:bookmarkStart w:id="16" w:name="the-five-issues-that-matter-most"/>
    <w:p>
      <w:pPr>
        <w:pStyle w:val="Heading2"/>
      </w:pPr>
      <w:r>
        <w:t xml:space="preserve">The five issues that matter most</w:t>
      </w:r>
    </w:p>
    <w:bookmarkStart w:id="11" w:name="X960f7cc07d371f401e1d7cf752be2cfa5f7c52a"/>
    <w:p>
      <w:pPr>
        <w:pStyle w:val="Heading3"/>
      </w:pPr>
      <w:r>
        <w:t xml:space="preserve">1. Data-center leasing and the path beyond 100 MW</w:t>
      </w:r>
    </w:p>
    <w:p>
      <w:pPr>
        <w:pStyle w:val="FirstParagraph"/>
      </w:pPr>
      <w:r>
        <w:t xml:space="preserve">The data-center business is now the most important driver of IRM’s growth narrative.</w:t>
      </w:r>
    </w:p>
    <w:p>
      <w:pPr>
        <w:pStyle w:val="BodyText"/>
      </w:pPr>
      <w:r>
        <w:t xml:space="preserve">In Q1:</w:t>
      </w:r>
    </w:p>
    <w:p>
      <w:pPr>
        <w:pStyle w:val="Compact"/>
        <w:numPr>
          <w:ilvl w:val="0"/>
          <w:numId w:val="1001"/>
        </w:numPr>
      </w:pPr>
      <w:r>
        <w:t xml:space="preserve">Data-center revenue increased</w:t>
      </w:r>
      <w:r>
        <w:t xml:space="preserve"> </w:t>
      </w:r>
      <w:r>
        <w:rPr>
          <w:b/>
          <w:bCs/>
        </w:rPr>
        <w:t xml:space="preserve">47%</w:t>
      </w:r>
      <w:r>
        <w:t xml:space="preserve"> </w:t>
      </w:r>
      <w:r>
        <w:t xml:space="preserve">to $255 million.</w:t>
      </w:r>
    </w:p>
    <w:p>
      <w:pPr>
        <w:pStyle w:val="Compact"/>
        <w:numPr>
          <w:ilvl w:val="0"/>
          <w:numId w:val="1001"/>
        </w:numPr>
      </w:pPr>
      <w:r>
        <w:t xml:space="preserve">Adjusted EBITDA increased to $133 million, with a</w:t>
      </w:r>
      <w:r>
        <w:t xml:space="preserve"> </w:t>
      </w:r>
      <w:r>
        <w:rPr>
          <w:b/>
          <w:bCs/>
        </w:rPr>
        <w:t xml:space="preserve">52.1% margin</w:t>
      </w:r>
      <w:r>
        <w:t xml:space="preserve">.</w:t>
      </w:r>
    </w:p>
    <w:p>
      <w:pPr>
        <w:pStyle w:val="Compact"/>
        <w:numPr>
          <w:ilvl w:val="0"/>
          <w:numId w:val="1001"/>
        </w:numPr>
      </w:pPr>
      <w:r>
        <w:t xml:space="preserve">IRM signed 22 MW of leases during Q1 and another 10 MW in April.</w:t>
      </w:r>
    </w:p>
    <w:p>
      <w:pPr>
        <w:pStyle w:val="Compact"/>
        <w:numPr>
          <w:ilvl w:val="0"/>
          <w:numId w:val="1001"/>
        </w:numPr>
      </w:pPr>
      <w:r>
        <w:t xml:space="preserve">It commenced 24 MW during the quarter.</w:t>
      </w:r>
    </w:p>
    <w:p>
      <w:pPr>
        <w:pStyle w:val="Compact"/>
        <w:numPr>
          <w:ilvl w:val="0"/>
          <w:numId w:val="1001"/>
        </w:numPr>
      </w:pPr>
      <w:r>
        <w:t xml:space="preserve">Renewal pricing spreads were</w:t>
      </w:r>
      <w:r>
        <w:t xml:space="preserve"> </w:t>
      </w:r>
      <w:r>
        <w:rPr>
          <w:b/>
          <w:bCs/>
        </w:rPr>
        <w:t xml:space="preserve">12% on a cash basis</w:t>
      </w:r>
      <w:r>
        <w:t xml:space="preserve"> </w:t>
      </w:r>
      <w:r>
        <w:t xml:space="preserve">and 14% on a GAAP basis.</w:t>
      </w:r>
    </w:p>
    <w:p>
      <w:pPr>
        <w:pStyle w:val="Compact"/>
        <w:numPr>
          <w:ilvl w:val="0"/>
          <w:numId w:val="1001"/>
        </w:numPr>
      </w:pPr>
      <w:r>
        <w:t xml:space="preserve">Management said advanced discussions should take full-year leasing “meaningfully” above the original 100-MW target.</w:t>
      </w:r>
    </w:p>
    <w:p>
      <w:pPr>
        <w:pStyle w:val="Compact"/>
        <w:numPr>
          <w:ilvl w:val="0"/>
          <w:numId w:val="1001"/>
        </w:numPr>
      </w:pPr>
      <w:r>
        <w:t xml:space="preserve">Approximately</w:t>
      </w:r>
      <w:r>
        <w:t xml:space="preserve"> </w:t>
      </w:r>
      <w:r>
        <w:rPr>
          <w:b/>
          <w:bCs/>
        </w:rPr>
        <w:t xml:space="preserve">400 MW</w:t>
      </w:r>
      <w:r>
        <w:t xml:space="preserve"> </w:t>
      </w:r>
      <w:r>
        <w:t xml:space="preserve">of capacity is expected to energize and become available over the following 24 months.</w:t>
      </w:r>
    </w:p>
    <w:p>
      <w:pPr>
        <w:pStyle w:val="FirstParagraph"/>
      </w:pPr>
      <w:r>
        <w:t xml:space="preserve">The key question is not simply whether revenue grew again. Investors need evidence that leasing is keeping pace with the development pipeline.</w:t>
      </w:r>
    </w:p>
    <w:p>
      <w:pPr>
        <w:pStyle w:val="BodyText"/>
      </w:pPr>
      <w:r>
        <w:rPr>
          <w:b/>
          <w:bCs/>
        </w:rPr>
        <w:t xml:space="preserve">Watch for:</w:t>
      </w:r>
    </w:p>
    <w:p>
      <w:pPr>
        <w:pStyle w:val="Compact"/>
        <w:numPr>
          <w:ilvl w:val="0"/>
          <w:numId w:val="1002"/>
        </w:numPr>
      </w:pPr>
      <w:r>
        <w:t xml:space="preserve">Total leasing signed through July.</w:t>
      </w:r>
    </w:p>
    <w:p>
      <w:pPr>
        <w:pStyle w:val="Compact"/>
        <w:numPr>
          <w:ilvl w:val="0"/>
          <w:numId w:val="1002"/>
        </w:numPr>
      </w:pPr>
      <w:r>
        <w:t xml:space="preserve">A formal increase to the 100-MW target.</w:t>
      </w:r>
    </w:p>
    <w:p>
      <w:pPr>
        <w:pStyle w:val="Compact"/>
        <w:numPr>
          <w:ilvl w:val="0"/>
          <w:numId w:val="1002"/>
        </w:numPr>
      </w:pPr>
      <w:r>
        <w:t xml:space="preserve">New hyperscale commitments in Northern Virginia, India, Amsterdam or other major campuses.</w:t>
      </w:r>
    </w:p>
    <w:p>
      <w:pPr>
        <w:pStyle w:val="Compact"/>
        <w:numPr>
          <w:ilvl w:val="0"/>
          <w:numId w:val="1002"/>
        </w:numPr>
      </w:pPr>
      <w:r>
        <w:t xml:space="preserve">Timing between lease signing, power delivery and revenue commencement.</w:t>
      </w:r>
    </w:p>
    <w:p>
      <w:pPr>
        <w:pStyle w:val="Compact"/>
        <w:numPr>
          <w:ilvl w:val="0"/>
          <w:numId w:val="1002"/>
        </w:numPr>
      </w:pPr>
      <w:r>
        <w:t xml:space="preserve">Pricing and returns on newly signed capacity.</w:t>
      </w:r>
    </w:p>
    <w:p>
      <w:pPr>
        <w:pStyle w:val="Compact"/>
        <w:numPr>
          <w:ilvl w:val="0"/>
          <w:numId w:val="1002"/>
        </w:numPr>
      </w:pPr>
      <w:r>
        <w:t xml:space="preserve">Any utility, permitting, supply-chain or power-delivery constraints.</w:t>
      </w:r>
    </w:p>
    <w:p>
      <w:pPr>
        <w:pStyle w:val="Compact"/>
        <w:numPr>
          <w:ilvl w:val="0"/>
          <w:numId w:val="1002"/>
        </w:numPr>
      </w:pPr>
      <w:r>
        <w:t xml:space="preserve">Whether faster customer power ramping continues to inflate reported revenue through pass-through power charges.</w:t>
      </w:r>
    </w:p>
    <w:p>
      <w:pPr>
        <w:pStyle w:val="FirstParagraph"/>
      </w:pPr>
      <w:r>
        <w:t xml:space="preserve">A large leasing quarter with maintained returns would reinforce the view that IRM can grow into its substantial data-center capital program. Weak leasing—or vague language around expected contract timing—would be the clearest threat to the premium valuation.</w:t>
      </w:r>
    </w:p>
    <w:bookmarkEnd w:id="11"/>
    <w:bookmarkStart w:id="12" w:name="X7a854bdd448ade66fe63acf39b69ada2d620338"/>
    <w:p>
      <w:pPr>
        <w:pStyle w:val="Heading3"/>
      </w:pPr>
      <w:r>
        <w:t xml:space="preserve">2. How durable is the ALM surge?</w:t>
      </w:r>
    </w:p>
    <w:p>
      <w:pPr>
        <w:pStyle w:val="FirstParagraph"/>
      </w:pPr>
      <w:r>
        <w:t xml:space="preserve">Asset lifecycle management was Q1’s standout:</w:t>
      </w:r>
    </w:p>
    <w:p>
      <w:pPr>
        <w:pStyle w:val="Compact"/>
        <w:numPr>
          <w:ilvl w:val="0"/>
          <w:numId w:val="1003"/>
        </w:numPr>
      </w:pPr>
      <w:r>
        <w:t xml:space="preserve">Revenue reached</w:t>
      </w:r>
      <w:r>
        <w:t xml:space="preserve"> </w:t>
      </w:r>
      <w:r>
        <w:rPr>
          <w:b/>
          <w:bCs/>
        </w:rPr>
        <w:t xml:space="preserve">$232 million</w:t>
      </w:r>
      <w:r>
        <w:t xml:space="preserve">, up 92%.</w:t>
      </w:r>
    </w:p>
    <w:p>
      <w:pPr>
        <w:pStyle w:val="Compact"/>
        <w:numPr>
          <w:ilvl w:val="0"/>
          <w:numId w:val="1003"/>
        </w:numPr>
      </w:pPr>
      <w:r>
        <w:t xml:space="preserve">Organic growth was 77%.</w:t>
      </w:r>
    </w:p>
    <w:p>
      <w:pPr>
        <w:pStyle w:val="Compact"/>
        <w:numPr>
          <w:ilvl w:val="0"/>
          <w:numId w:val="1003"/>
        </w:numPr>
      </w:pPr>
      <w:r>
        <w:t xml:space="preserve">Data-center decommissioning grew more than 100% organically.</w:t>
      </w:r>
    </w:p>
    <w:p>
      <w:pPr>
        <w:pStyle w:val="Compact"/>
        <w:numPr>
          <w:ilvl w:val="0"/>
          <w:numId w:val="1003"/>
        </w:numPr>
      </w:pPr>
      <w:r>
        <w:t xml:space="preserve">Enterprise ALM grew more than 45% organically.</w:t>
      </w:r>
    </w:p>
    <w:p>
      <w:pPr>
        <w:pStyle w:val="Compact"/>
        <w:numPr>
          <w:ilvl w:val="0"/>
          <w:numId w:val="1003"/>
        </w:numPr>
      </w:pPr>
      <w:r>
        <w:t xml:space="preserve">Management raised its 2026 ALM revenue outlook to</w:t>
      </w:r>
      <w:r>
        <w:t xml:space="preserve"> </w:t>
      </w:r>
      <w:r>
        <w:rPr>
          <w:b/>
          <w:bCs/>
        </w:rPr>
        <w:t xml:space="preserve">$950 million</w:t>
      </w:r>
      <w:r>
        <w:t xml:space="preserve">, $100 million above its previous expectation.</w:t>
      </w:r>
    </w:p>
    <w:p>
      <w:pPr>
        <w:pStyle w:val="FirstParagraph"/>
      </w:pPr>
      <w:r>
        <w:t xml:space="preserve">Some of that strength reflected favorable pricing for recovered memory and other components. Management said component prices had stabilized around levels contemplated in its original guidance, while the remaining increase in the ALM outlook was expected to come primarily from volume, enterprise expansion and data-center decommissioning.</w:t>
      </w:r>
    </w:p>
    <w:p>
      <w:pPr>
        <w:pStyle w:val="BodyText"/>
      </w:pPr>
      <w:r>
        <w:t xml:space="preserve">That distinction is crucial. Investors should separate:</w:t>
      </w:r>
    </w:p>
    <w:p>
      <w:pPr>
        <w:pStyle w:val="Compact"/>
        <w:numPr>
          <w:ilvl w:val="0"/>
          <w:numId w:val="1004"/>
        </w:numPr>
      </w:pPr>
      <w:r>
        <w:rPr>
          <w:b/>
          <w:bCs/>
        </w:rPr>
        <w:t xml:space="preserve">Underlying volume and customer growth</w:t>
      </w:r>
      <w:r>
        <w:t xml:space="preserve">, which can support a durable earnings multiple; from</w:t>
      </w:r>
    </w:p>
    <w:p>
      <w:pPr>
        <w:pStyle w:val="Compact"/>
        <w:numPr>
          <w:ilvl w:val="0"/>
          <w:numId w:val="1004"/>
        </w:numPr>
      </w:pPr>
      <w:r>
        <w:rPr>
          <w:b/>
          <w:bCs/>
        </w:rPr>
        <w:t xml:space="preserve">Commodity and component-price benefits</w:t>
      </w:r>
      <w:r>
        <w:t xml:space="preserve">, which may normalize quickly.</w:t>
      </w:r>
    </w:p>
    <w:p>
      <w:pPr>
        <w:pStyle w:val="FirstParagraph"/>
      </w:pPr>
      <w:r>
        <w:rPr>
          <w:b/>
          <w:bCs/>
        </w:rPr>
        <w:t xml:space="preserve">Watch for:</w:t>
      </w:r>
    </w:p>
    <w:p>
      <w:pPr>
        <w:pStyle w:val="Compact"/>
        <w:numPr>
          <w:ilvl w:val="0"/>
          <w:numId w:val="1005"/>
        </w:numPr>
      </w:pPr>
      <w:r>
        <w:t xml:space="preserve">ALM revenue relative to the implied quarterly pace required to reach $950 million.</w:t>
      </w:r>
    </w:p>
    <w:p>
      <w:pPr>
        <w:pStyle w:val="Compact"/>
        <w:numPr>
          <w:ilvl w:val="0"/>
          <w:numId w:val="1005"/>
        </w:numPr>
      </w:pPr>
      <w:r>
        <w:t xml:space="preserve">Organic volume growth versus resale-price benefits.</w:t>
      </w:r>
    </w:p>
    <w:p>
      <w:pPr>
        <w:pStyle w:val="Compact"/>
        <w:numPr>
          <w:ilvl w:val="0"/>
          <w:numId w:val="1005"/>
        </w:numPr>
      </w:pPr>
      <w:r>
        <w:t xml:space="preserve">Margins, not just revenue.</w:t>
      </w:r>
    </w:p>
    <w:p>
      <w:pPr>
        <w:pStyle w:val="Compact"/>
        <w:numPr>
          <w:ilvl w:val="0"/>
          <w:numId w:val="1005"/>
        </w:numPr>
      </w:pPr>
      <w:r>
        <w:t xml:space="preserve">Enterprise cross-selling into IRM’s records-management customer base.</w:t>
      </w:r>
    </w:p>
    <w:p>
      <w:pPr>
        <w:pStyle w:val="Compact"/>
        <w:numPr>
          <w:ilvl w:val="0"/>
          <w:numId w:val="1005"/>
        </w:numPr>
      </w:pPr>
      <w:r>
        <w:t xml:space="preserve">Hyperscale decommissioning activity and project timing.</w:t>
      </w:r>
    </w:p>
    <w:p>
      <w:pPr>
        <w:pStyle w:val="Compact"/>
        <w:numPr>
          <w:ilvl w:val="0"/>
          <w:numId w:val="1005"/>
        </w:numPr>
      </w:pPr>
      <w:r>
        <w:t xml:space="preserve">Commentary on customers extending server lives because of equipment and memory shortages.</w:t>
      </w:r>
    </w:p>
    <w:p>
      <w:pPr>
        <w:pStyle w:val="FirstParagraph"/>
      </w:pPr>
      <w:r>
        <w:t xml:space="preserve">Strong volume with stable margins would support another ALM guidance increase. Revenue upside driven mostly by component prices would be lower quality.</w:t>
      </w:r>
    </w:p>
    <w:bookmarkEnd w:id="12"/>
    <w:bookmarkStart w:id="13" w:name="X203e5eb3301e3d177ba8cecbba5727a8d93d833"/>
    <w:p>
      <w:pPr>
        <w:pStyle w:val="Heading3"/>
      </w:pPr>
      <w:r>
        <w:t xml:space="preserve">3. The records business must remain a stabilizer</w:t>
      </w:r>
    </w:p>
    <w:p>
      <w:pPr>
        <w:pStyle w:val="FirstParagraph"/>
      </w:pPr>
      <w:r>
        <w:t xml:space="preserve">The legacy records-management business remains essential because it supplies recurring revenue, high margins and customer relationships that IRM can use to cross-sell digital, ALM and data-center services.</w:t>
      </w:r>
    </w:p>
    <w:p>
      <w:pPr>
        <w:pStyle w:val="BodyText"/>
      </w:pPr>
      <w:r>
        <w:t xml:space="preserve">Q1 Global RIM revenue grew 12% on a reported basis and 8% organically. Storage revenue grew 6% organically, and Global RIM adjusted EBITDA margin was approximately 44%. Management also said the physical records-storage business was on track for its 38th consecutive year of organic storage-rental growth.</w:t>
      </w:r>
    </w:p>
    <w:p>
      <w:pPr>
        <w:pStyle w:val="BodyText"/>
      </w:pPr>
      <w:r>
        <w:t xml:space="preserve">Q2 faces a somewhat more difficult pricing comparison because the full effect of last year’s revenue-management actions appeared in the second quarter. Management nevertheless expected full-year pricing actions to remain around the “mid-single-digit-plus” level.</w:t>
      </w:r>
    </w:p>
    <w:p>
      <w:pPr>
        <w:pStyle w:val="BodyText"/>
      </w:pPr>
      <w:r>
        <w:rPr>
          <w:b/>
          <w:bCs/>
        </w:rPr>
        <w:t xml:space="preserve">Watch for:</w:t>
      </w:r>
    </w:p>
    <w:p>
      <w:pPr>
        <w:pStyle w:val="Compact"/>
        <w:numPr>
          <w:ilvl w:val="0"/>
          <w:numId w:val="1006"/>
        </w:numPr>
      </w:pPr>
      <w:r>
        <w:t xml:space="preserve">Organic storage-rental growth.</w:t>
      </w:r>
    </w:p>
    <w:p>
      <w:pPr>
        <w:pStyle w:val="Compact"/>
        <w:numPr>
          <w:ilvl w:val="0"/>
          <w:numId w:val="1006"/>
        </w:numPr>
      </w:pPr>
      <w:r>
        <w:t xml:space="preserve">Physical volume trends and customer retention.</w:t>
      </w:r>
    </w:p>
    <w:p>
      <w:pPr>
        <w:pStyle w:val="Compact"/>
        <w:numPr>
          <w:ilvl w:val="0"/>
          <w:numId w:val="1006"/>
        </w:numPr>
      </w:pPr>
      <w:r>
        <w:t xml:space="preserve">Pricing contribution versus volume contribution.</w:t>
      </w:r>
    </w:p>
    <w:p>
      <w:pPr>
        <w:pStyle w:val="Compact"/>
        <w:numPr>
          <w:ilvl w:val="0"/>
          <w:numId w:val="1006"/>
        </w:numPr>
      </w:pPr>
      <w:r>
        <w:t xml:space="preserve">Service-revenue growth and project timing.</w:t>
      </w:r>
    </w:p>
    <w:p>
      <w:pPr>
        <w:pStyle w:val="Compact"/>
        <w:numPr>
          <w:ilvl w:val="0"/>
          <w:numId w:val="1006"/>
        </w:numPr>
      </w:pPr>
      <w:r>
        <w:t xml:space="preserve">Whether revenue-management actions are producing customer pushback.</w:t>
      </w:r>
    </w:p>
    <w:p>
      <w:pPr>
        <w:pStyle w:val="Compact"/>
        <w:numPr>
          <w:ilvl w:val="0"/>
          <w:numId w:val="1006"/>
        </w:numPr>
      </w:pPr>
      <w:r>
        <w:t xml:space="preserve">Global RIM margin progression.</w:t>
      </w:r>
    </w:p>
    <w:p>
      <w:pPr>
        <w:pStyle w:val="FirstParagraph"/>
      </w:pPr>
      <w:r>
        <w:t xml:space="preserve">A healthy outcome would be continued mid-single-digit-plus organic storage growth with stable or improving margins. Material slowing here would matter because it would weaken the cash-generating foundation funding IRM’s newer businesses.</w:t>
      </w:r>
    </w:p>
    <w:bookmarkEnd w:id="13"/>
    <w:bookmarkStart w:id="14" w:name="X013ed74af947a9986349c34ef6879ef7e0ff9ee"/>
    <w:p>
      <w:pPr>
        <w:pStyle w:val="Heading3"/>
      </w:pPr>
      <w:r>
        <w:t xml:space="preserve">4. Digital and government contracts</w:t>
      </w:r>
    </w:p>
    <w:p>
      <w:pPr>
        <w:pStyle w:val="FirstParagraph"/>
      </w:pPr>
      <w:r>
        <w:t xml:space="preserve">Digital Solutions grew more than 20% in Q1, supported by digitization projects and IRM’s AI-enabled DXP platform. The public sector is becoming a potentially meaningful source of additional growth.</w:t>
      </w:r>
    </w:p>
    <w:p>
      <w:pPr>
        <w:pStyle w:val="BodyText"/>
      </w:pPr>
      <w:r>
        <w:t xml:space="preserve">For the large U.S. Treasury/IRS-related contract, management reported approximately $9 million of Q1 revenue and continued to expect:</w:t>
      </w:r>
    </w:p>
    <w:p>
      <w:pPr>
        <w:pStyle w:val="Compact"/>
        <w:numPr>
          <w:ilvl w:val="0"/>
          <w:numId w:val="1007"/>
        </w:numPr>
      </w:pPr>
      <w:r>
        <w:t xml:space="preserve">Approximately</w:t>
      </w:r>
      <w:r>
        <w:t xml:space="preserve"> </w:t>
      </w:r>
      <w:r>
        <w:rPr>
          <w:b/>
          <w:bCs/>
        </w:rPr>
        <w:t xml:space="preserve">$45 million in 2026</w:t>
      </w:r>
      <w:r>
        <w:t xml:space="preserve">.</w:t>
      </w:r>
    </w:p>
    <w:p>
      <w:pPr>
        <w:pStyle w:val="Compact"/>
        <w:numPr>
          <w:ilvl w:val="0"/>
          <w:numId w:val="1007"/>
        </w:numPr>
      </w:pPr>
      <w:r>
        <w:t xml:space="preserve">More than</w:t>
      </w:r>
      <w:r>
        <w:t xml:space="preserve"> </w:t>
      </w:r>
      <w:r>
        <w:rPr>
          <w:b/>
          <w:bCs/>
        </w:rPr>
        <w:t xml:space="preserve">$100 million annually from 2027 onward</w:t>
      </w:r>
      <w:r>
        <w:t xml:space="preserve">.</w:t>
      </w:r>
    </w:p>
    <w:p>
      <w:pPr>
        <w:pStyle w:val="FirstParagraph"/>
      </w:pPr>
      <w:r>
        <w:t xml:space="preserve">IRM also highlighted strong government bookings and its FedRAMP High authorization, which broadens the workloads it can pursue with U.S. federal agencies.</w:t>
      </w:r>
    </w:p>
    <w:p>
      <w:pPr>
        <w:pStyle w:val="BodyText"/>
      </w:pPr>
      <w:r>
        <w:rPr>
          <w:b/>
          <w:bCs/>
        </w:rPr>
        <w:t xml:space="preserve">Watch for:</w:t>
      </w:r>
    </w:p>
    <w:p>
      <w:pPr>
        <w:pStyle w:val="Compact"/>
        <w:numPr>
          <w:ilvl w:val="0"/>
          <w:numId w:val="1008"/>
        </w:numPr>
      </w:pPr>
      <w:r>
        <w:t xml:space="preserve">Progress toward the $45 million 2026 contract contribution.</w:t>
      </w:r>
    </w:p>
    <w:p>
      <w:pPr>
        <w:pStyle w:val="Compact"/>
        <w:numPr>
          <w:ilvl w:val="0"/>
          <w:numId w:val="1008"/>
        </w:numPr>
      </w:pPr>
      <w:r>
        <w:t xml:space="preserve">Implementation and employee-onboarding timing.</w:t>
      </w:r>
    </w:p>
    <w:p>
      <w:pPr>
        <w:pStyle w:val="Compact"/>
        <w:numPr>
          <w:ilvl w:val="0"/>
          <w:numId w:val="1008"/>
        </w:numPr>
      </w:pPr>
      <w:r>
        <w:t xml:space="preserve">New federal awards and bookings.</w:t>
      </w:r>
    </w:p>
    <w:p>
      <w:pPr>
        <w:pStyle w:val="Compact"/>
        <w:numPr>
          <w:ilvl w:val="0"/>
          <w:numId w:val="1008"/>
        </w:numPr>
      </w:pPr>
      <w:r>
        <w:t xml:space="preserve">Digital revenue growth excluding large one-time projects.</w:t>
      </w:r>
    </w:p>
    <w:p>
      <w:pPr>
        <w:pStyle w:val="Compact"/>
        <w:numPr>
          <w:ilvl w:val="0"/>
          <w:numId w:val="1008"/>
        </w:numPr>
      </w:pPr>
      <w:r>
        <w:t xml:space="preserve">Evidence that digital projects generate additional physical storage or recurring platform revenue.</w:t>
      </w:r>
    </w:p>
    <w:p>
      <w:pPr>
        <w:pStyle w:val="FirstParagraph"/>
      </w:pPr>
      <w:r>
        <w:t xml:space="preserve">Government wins could become an important source of upside, but bookings can take time to convert into reported revenue. Investors should distinguish contract announcements from actual implementation and recognized revenue.</w:t>
      </w:r>
    </w:p>
    <w:bookmarkEnd w:id="14"/>
    <w:bookmarkStart w:id="15" w:name="Xc8bcf3de6d81a4aabb3a43b82b73e64e3d62801"/>
    <w:p>
      <w:pPr>
        <w:pStyle w:val="Heading3"/>
      </w:pPr>
      <w:r>
        <w:t xml:space="preserve">5. Cash flow, leverage and capital intensity</w:t>
      </w:r>
    </w:p>
    <w:p>
      <w:pPr>
        <w:pStyle w:val="FirstParagraph"/>
      </w:pPr>
      <w:r>
        <w:t xml:space="preserve">IRM’s growth is increasingly capital-intensive. In Q1 the company invested:</w:t>
      </w:r>
    </w:p>
    <w:p>
      <w:pPr>
        <w:pStyle w:val="Compact"/>
        <w:numPr>
          <w:ilvl w:val="0"/>
          <w:numId w:val="1009"/>
        </w:numPr>
      </w:pPr>
      <w:r>
        <w:rPr>
          <w:b/>
          <w:bCs/>
        </w:rPr>
        <w:t xml:space="preserve">$492 million</w:t>
      </w:r>
      <w:r>
        <w:t xml:space="preserve"> </w:t>
      </w:r>
      <w:r>
        <w:t xml:space="preserve">in growth capital expenditures.</w:t>
      </w:r>
    </w:p>
    <w:p>
      <w:pPr>
        <w:pStyle w:val="Compact"/>
        <w:numPr>
          <w:ilvl w:val="0"/>
          <w:numId w:val="1009"/>
        </w:numPr>
      </w:pPr>
      <w:r>
        <w:rPr>
          <w:b/>
          <w:bCs/>
        </w:rPr>
        <w:t xml:space="preserve">$35 million</w:t>
      </w:r>
      <w:r>
        <w:t xml:space="preserve"> </w:t>
      </w:r>
      <w:r>
        <w:t xml:space="preserve">in recurring capital expenditures.</w:t>
      </w:r>
    </w:p>
    <w:p>
      <w:pPr>
        <w:pStyle w:val="FirstParagraph"/>
      </w:pPr>
      <w:r>
        <w:t xml:space="preserve">Long-term debt plus its current portion stood at approximately</w:t>
      </w:r>
      <w:r>
        <w:t xml:space="preserve"> </w:t>
      </w:r>
      <w:r>
        <w:rPr>
          <w:b/>
          <w:bCs/>
        </w:rPr>
        <w:t xml:space="preserve">$17.1 billion</w:t>
      </w:r>
      <w:r>
        <w:t xml:space="preserve"> </w:t>
      </w:r>
      <w:r>
        <w:t xml:space="preserve">at March 31, up roughly $671 million from year-end. Net lease-adjusted leverage nevertheless improved to</w:t>
      </w:r>
      <w:r>
        <w:t xml:space="preserve"> </w:t>
      </w:r>
      <w:r>
        <w:rPr>
          <w:b/>
          <w:bCs/>
        </w:rPr>
        <w:t xml:space="preserve">4.8 times</w:t>
      </w:r>
      <w:r>
        <w:t xml:space="preserve"> </w:t>
      </w:r>
      <w:r>
        <w:t xml:space="preserve">because EBITDA expanded.</w:t>
      </w:r>
    </w:p>
    <w:p>
      <w:pPr>
        <w:pStyle w:val="BodyText"/>
      </w:pPr>
      <w:r>
        <w:t xml:space="preserve">Management expects full-year capital spending to be slightly below 2025 and said much of its data-center construction is supported by pre-leasing rather than speculative development. It also raised its expectation for year-over-year growth in retained cash flow.</w:t>
      </w:r>
    </w:p>
    <w:p>
      <w:pPr>
        <w:pStyle w:val="BodyText"/>
      </w:pPr>
      <w:r>
        <w:rPr>
          <w:b/>
          <w:bCs/>
        </w:rPr>
        <w:t xml:space="preserve">Watch for:</w:t>
      </w:r>
    </w:p>
    <w:p>
      <w:pPr>
        <w:pStyle w:val="Compact"/>
        <w:numPr>
          <w:ilvl w:val="0"/>
          <w:numId w:val="1010"/>
        </w:numPr>
      </w:pPr>
      <w:r>
        <w:t xml:space="preserve">Net lease-adjusted leverage relative to 4.8 times.</w:t>
      </w:r>
    </w:p>
    <w:p>
      <w:pPr>
        <w:pStyle w:val="Compact"/>
        <w:numPr>
          <w:ilvl w:val="0"/>
          <w:numId w:val="1010"/>
        </w:numPr>
      </w:pPr>
      <w:r>
        <w:t xml:space="preserve">Growth-capex guidance.</w:t>
      </w:r>
    </w:p>
    <w:p>
      <w:pPr>
        <w:pStyle w:val="Compact"/>
        <w:numPr>
          <w:ilvl w:val="0"/>
          <w:numId w:val="1010"/>
        </w:numPr>
      </w:pPr>
      <w:r>
        <w:t xml:space="preserve">Capital required to deliver the 400-MW pipeline.</w:t>
      </w:r>
    </w:p>
    <w:p>
      <w:pPr>
        <w:pStyle w:val="Compact"/>
        <w:numPr>
          <w:ilvl w:val="0"/>
          <w:numId w:val="1010"/>
        </w:numPr>
      </w:pPr>
      <w:r>
        <w:t xml:space="preserve">The proportion of development that is pre-leased.</w:t>
      </w:r>
    </w:p>
    <w:p>
      <w:pPr>
        <w:pStyle w:val="Compact"/>
        <w:numPr>
          <w:ilvl w:val="0"/>
          <w:numId w:val="1010"/>
        </w:numPr>
      </w:pPr>
      <w:r>
        <w:t xml:space="preserve">Interest expense, which increased 15% year over year in Q1.</w:t>
      </w:r>
    </w:p>
    <w:p>
      <w:pPr>
        <w:pStyle w:val="Compact"/>
        <w:numPr>
          <w:ilvl w:val="0"/>
          <w:numId w:val="1010"/>
        </w:numPr>
      </w:pPr>
      <w:r>
        <w:t xml:space="preserve">Debt issuance, equity issuance or additional joint-venture funding.</w:t>
      </w:r>
    </w:p>
    <w:p>
      <w:pPr>
        <w:pStyle w:val="Compact"/>
        <w:numPr>
          <w:ilvl w:val="0"/>
          <w:numId w:val="1010"/>
        </w:numPr>
      </w:pPr>
      <w:r>
        <w:t xml:space="preserve">Retained cash flow after dividends and recurring capital expenditures.</w:t>
      </w:r>
    </w:p>
    <w:p>
      <w:pPr>
        <w:pStyle w:val="FirstParagraph"/>
      </w:pPr>
      <w:r>
        <w:t xml:space="preserve">Strong EBITDA growth can keep leverage under control, but a slowdown in leasing or a material increase in development spending would make the balance sheet a larger part of the debate.</w:t>
      </w:r>
    </w:p>
    <w:bookmarkEnd w:id="15"/>
    <w:bookmarkEnd w:id="16"/>
    <w:bookmarkStart w:id="17" w:name="Xd0af2b733e47ac42d35df43f55dd55842993ce4"/>
    <w:p>
      <w:pPr>
        <w:pStyle w:val="Heading2"/>
      </w:pPr>
      <w:r>
        <w:t xml:space="preserve">Full-year guidance: another increase is likely the real hurdle</w:t>
      </w:r>
    </w:p>
    <w:p>
      <w:pPr>
        <w:pStyle w:val="FirstParagraph"/>
      </w:pPr>
      <w:r>
        <w:t xml:space="preserve">Following Q1, management raised its 2026 outlook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 guidance</w:t>
            </w:r>
          </w:p>
        </w:tc>
        <w:tc>
          <w:tcPr/>
          <w:p>
            <w:pPr>
              <w:pStyle w:val="Compact"/>
              <w:jc w:val="right"/>
            </w:pPr>
            <w:r>
              <w:t xml:space="preserve">Midpoint growth</w:t>
            </w:r>
          </w:p>
        </w:tc>
      </w:tr>
      <w:tr>
        <w:tc>
          <w:tcPr/>
          <w:p>
            <w:pPr>
              <w:pStyle w:val="Compact"/>
            </w:pPr>
            <w:r>
              <w:t xml:space="preserve">Revenue</w:t>
            </w:r>
          </w:p>
        </w:tc>
        <w:tc>
          <w:tcPr/>
          <w:p>
            <w:pPr>
              <w:pStyle w:val="Compact"/>
              <w:jc w:val="right"/>
            </w:pPr>
            <m:oMath>
              <m:r>
                <m:t>7.825</m:t>
              </m:r>
              <m:r>
                <m:t>B</m:t>
              </m:r>
              <m:r>
                <m:rPr>
                  <m:sty m:val="p"/>
                </m:rPr>
                <m:t>–</m:t>
              </m:r>
            </m:oMath>
            <w:r>
              <w:rPr>
                <w:b/>
                <w:bCs/>
              </w:rPr>
              <w:t xml:space="preserve">7.925B</w:t>
            </w:r>
          </w:p>
        </w:tc>
        <w:tc>
          <w:tcPr/>
          <w:p>
            <w:pPr>
              <w:pStyle w:val="Compact"/>
              <w:jc w:val="right"/>
            </w:pPr>
            <w:r>
              <w:t xml:space="preserve">~14%</w:t>
            </w:r>
          </w:p>
        </w:tc>
      </w:tr>
      <w:tr>
        <w:tc>
          <w:tcPr/>
          <w:p>
            <w:pPr>
              <w:pStyle w:val="Compact"/>
            </w:pPr>
            <w:r>
              <w:t xml:space="preserve">Adjusted EBITDA</w:t>
            </w:r>
          </w:p>
        </w:tc>
        <w:tc>
          <w:tcPr/>
          <w:p>
            <w:pPr>
              <w:pStyle w:val="Compact"/>
              <w:jc w:val="right"/>
            </w:pPr>
            <m:oMath>
              <m:r>
                <m:t>2.925</m:t>
              </m:r>
              <m:r>
                <m:t>B</m:t>
              </m:r>
              <m:r>
                <m:rPr>
                  <m:sty m:val="p"/>
                </m:rPr>
                <m:t>–</m:t>
              </m:r>
            </m:oMath>
            <w:r>
              <w:rPr>
                <w:b/>
                <w:bCs/>
              </w:rPr>
              <w:t xml:space="preserve">2.965B</w:t>
            </w:r>
          </w:p>
        </w:tc>
        <w:tc>
          <w:tcPr/>
          <w:p>
            <w:pPr>
              <w:pStyle w:val="Compact"/>
              <w:jc w:val="right"/>
            </w:pPr>
            <w:r>
              <w:t xml:space="preserve">~14%</w:t>
            </w:r>
          </w:p>
        </w:tc>
      </w:tr>
      <w:tr>
        <w:tc>
          <w:tcPr/>
          <w:p>
            <w:pPr>
              <w:pStyle w:val="Compact"/>
            </w:pPr>
            <w:r>
              <w:t xml:space="preserve">AFFO</w:t>
            </w:r>
          </w:p>
        </w:tc>
        <w:tc>
          <w:tcPr/>
          <w:p>
            <w:pPr>
              <w:pStyle w:val="Compact"/>
              <w:jc w:val="right"/>
            </w:pPr>
            <m:oMath>
              <m:r>
                <m:t>1.735</m:t>
              </m:r>
              <m:r>
                <m:t>B</m:t>
              </m:r>
              <m:r>
                <m:rPr>
                  <m:sty m:val="p"/>
                </m:rPr>
                <m:t>–</m:t>
              </m:r>
            </m:oMath>
            <w:r>
              <w:rPr>
                <w:b/>
                <w:bCs/>
              </w:rPr>
              <w:t xml:space="preserve">1.755B</w:t>
            </w:r>
          </w:p>
        </w:tc>
        <w:tc>
          <w:tcPr/>
          <w:p>
            <w:pPr>
              <w:pStyle w:val="Compact"/>
              <w:jc w:val="right"/>
            </w:pPr>
            <w:r>
              <w:t xml:space="preserve">~13%</w:t>
            </w:r>
          </w:p>
        </w:tc>
      </w:tr>
      <w:tr>
        <w:tc>
          <w:tcPr/>
          <w:p>
            <w:pPr>
              <w:pStyle w:val="Compact"/>
            </w:pPr>
            <w:r>
              <w:t xml:space="preserve">AFFO/share</w:t>
            </w:r>
          </w:p>
        </w:tc>
        <w:tc>
          <w:tcPr/>
          <w:p>
            <w:pPr>
              <w:pStyle w:val="Compact"/>
              <w:jc w:val="right"/>
            </w:pPr>
            <m:oMath>
              <m:r>
                <m:t>5.79</m:t>
              </m:r>
              <m:r>
                <m:rPr>
                  <m:sty m:val="p"/>
                </m:rPr>
                <m:t>–</m:t>
              </m:r>
            </m:oMath>
            <w:r>
              <w:rPr>
                <w:b/>
                <w:bCs/>
              </w:rPr>
              <w:t xml:space="preserve">5.86</w:t>
            </w:r>
          </w:p>
        </w:tc>
        <w:tc>
          <w:tcPr/>
          <w:p>
            <w:pPr>
              <w:pStyle w:val="Compact"/>
              <w:jc w:val="right"/>
            </w:pPr>
            <w:r>
              <w:t xml:space="preserve">~13%</w:t>
            </w:r>
          </w:p>
        </w:tc>
      </w:tr>
    </w:tbl>
    <w:p>
      <w:pPr>
        <w:pStyle w:val="BodyText"/>
      </w:pPr>
      <w:r>
        <w:t xml:space="preserve">If Q2 lands exactly at company guidance, the second half would need to produce approximately:</w:t>
      </w:r>
    </w:p>
    <w:p>
      <w:pPr>
        <w:pStyle w:val="Compact"/>
        <w:numPr>
          <w:ilvl w:val="0"/>
          <w:numId w:val="1011"/>
        </w:numPr>
      </w:pPr>
      <w:r>
        <w:rPr>
          <w:b/>
          <w:bCs/>
        </w:rPr>
        <w:t xml:space="preserve">$3.97 billion</w:t>
      </w:r>
      <w:r>
        <w:t xml:space="preserve"> </w:t>
      </w:r>
      <w:r>
        <w:t xml:space="preserve">of revenue.</w:t>
      </w:r>
    </w:p>
    <w:p>
      <w:pPr>
        <w:pStyle w:val="Compact"/>
        <w:numPr>
          <w:ilvl w:val="0"/>
          <w:numId w:val="1011"/>
        </w:numPr>
      </w:pPr>
      <w:r>
        <w:rPr>
          <w:b/>
          <w:bCs/>
        </w:rPr>
        <w:t xml:space="preserve">$1.52 billion</w:t>
      </w:r>
      <w:r>
        <w:t xml:space="preserve"> </w:t>
      </w:r>
      <w:r>
        <w:t xml:space="preserve">of adjusted EBITDA.</w:t>
      </w:r>
    </w:p>
    <w:p>
      <w:pPr>
        <w:pStyle w:val="Compact"/>
        <w:numPr>
          <w:ilvl w:val="0"/>
          <w:numId w:val="1011"/>
        </w:numPr>
      </w:pPr>
      <w:r>
        <w:rPr>
          <w:b/>
          <w:bCs/>
        </w:rPr>
        <w:t xml:space="preserve">$901 million</w:t>
      </w:r>
      <w:r>
        <w:t xml:space="preserve"> </w:t>
      </w:r>
      <w:r>
        <w:t xml:space="preserve">of AFFO.</w:t>
      </w:r>
    </w:p>
    <w:p>
      <w:pPr>
        <w:pStyle w:val="FirstParagraph"/>
      </w:pPr>
      <w:r>
        <w:t xml:space="preserve">That implies only modest second-half revenue acceleration, but stronger improvement in EBITDA and AFFO. Investors should therefore pay close attention to management’s quarterly cadence, lease-commencement schedule, margins and cash-flow assumptions.</w:t>
      </w:r>
    </w:p>
    <w:p>
      <w:pPr>
        <w:pStyle w:val="BodyText"/>
      </w:pPr>
      <w:r>
        <w:t xml:space="preserve">Given the Q1 beat and comments about business momentum, a simple reaffirmation could be interpreted as conservative—or as a sign that some of the early upside is not recurring. A meaningful raise would be the cleanest positive catalyst.</w:t>
      </w:r>
    </w:p>
    <w:bookmarkEnd w:id="17"/>
    <w:bookmarkStart w:id="18" w:name="dividend-considerations"/>
    <w:p>
      <w:pPr>
        <w:pStyle w:val="Heading2"/>
      </w:pPr>
      <w:r>
        <w:t xml:space="preserve">Dividend considerations</w:t>
      </w:r>
    </w:p>
    <w:p>
      <w:pPr>
        <w:pStyle w:val="FirstParagraph"/>
      </w:pPr>
      <w:r>
        <w:t xml:space="preserve">The current quarterly dividend is</w:t>
      </w:r>
      <w:r>
        <w:t xml:space="preserve"> </w:t>
      </w:r>
      <w:r>
        <w:rPr>
          <w:b/>
          <w:bCs/>
        </w:rPr>
        <w:t xml:space="preserve">$0.864 per share</w:t>
      </w:r>
      <w:r>
        <w:t xml:space="preserve">, or $3.456 annualized. Relative to the midpoint of 2026 AFFO-per-share guidance, the prospective payout ratio is approximately</w:t>
      </w:r>
      <w:r>
        <w:t xml:space="preserve"> </w:t>
      </w:r>
      <w:r>
        <w:rPr>
          <w:b/>
          <w:bCs/>
        </w:rPr>
        <w:t xml:space="preserve">59%</w:t>
      </w:r>
      <w:r>
        <w:t xml:space="preserve">, consistent with management’s low-60% target.</w:t>
      </w:r>
    </w:p>
    <w:p>
      <w:pPr>
        <w:pStyle w:val="BodyText"/>
      </w:pPr>
      <w:r>
        <w:t xml:space="preserve">This leaves room for dividend growth, although data-center investment remains a major use of capital. Investors should watch for the balance management strikes between:</w:t>
      </w:r>
    </w:p>
    <w:p>
      <w:pPr>
        <w:pStyle w:val="Compact"/>
        <w:numPr>
          <w:ilvl w:val="0"/>
          <w:numId w:val="1012"/>
        </w:numPr>
      </w:pPr>
      <w:r>
        <w:t xml:space="preserve">Dividend increases.</w:t>
      </w:r>
    </w:p>
    <w:p>
      <w:pPr>
        <w:pStyle w:val="Compact"/>
        <w:numPr>
          <w:ilvl w:val="0"/>
          <w:numId w:val="1012"/>
        </w:numPr>
      </w:pPr>
      <w:r>
        <w:t xml:space="preserve">Retained cash flow.</w:t>
      </w:r>
    </w:p>
    <w:p>
      <w:pPr>
        <w:pStyle w:val="Compact"/>
        <w:numPr>
          <w:ilvl w:val="0"/>
          <w:numId w:val="1012"/>
        </w:numPr>
      </w:pPr>
      <w:r>
        <w:t xml:space="preserve">Data-center development.</w:t>
      </w:r>
    </w:p>
    <w:p>
      <w:pPr>
        <w:pStyle w:val="Compact"/>
        <w:numPr>
          <w:ilvl w:val="0"/>
          <w:numId w:val="1012"/>
        </w:numPr>
      </w:pPr>
      <w:r>
        <w:t xml:space="preserve">ALM acquisitions.</w:t>
      </w:r>
    </w:p>
    <w:p>
      <w:pPr>
        <w:pStyle w:val="Compact"/>
        <w:numPr>
          <w:ilvl w:val="0"/>
          <w:numId w:val="1012"/>
        </w:numPr>
      </w:pPr>
      <w:r>
        <w:t xml:space="preserve">Leverage reduction.</w:t>
      </w:r>
    </w:p>
    <w:bookmarkEnd w:id="18"/>
    <w:bookmarkStart w:id="22" w:name="scenario-framework"/>
    <w:p>
      <w:pPr>
        <w:pStyle w:val="Heading2"/>
      </w:pPr>
      <w:r>
        <w:t xml:space="preserve">Scenario framework</w:t>
      </w:r>
    </w:p>
    <w:bookmarkStart w:id="19" w:name="bull-case"/>
    <w:p>
      <w:pPr>
        <w:pStyle w:val="Heading3"/>
      </w:pPr>
      <w:r>
        <w:t xml:space="preserve">Bull case</w:t>
      </w:r>
    </w:p>
    <w:p>
      <w:pPr>
        <w:pStyle w:val="Compact"/>
        <w:numPr>
          <w:ilvl w:val="0"/>
          <w:numId w:val="1013"/>
        </w:numPr>
      </w:pPr>
      <w:r>
        <w:t xml:space="preserve">Revenue and adjusted EBITDA exceed $1.965 billion and $715 million.</w:t>
      </w:r>
    </w:p>
    <w:p>
      <w:pPr>
        <w:pStyle w:val="Compact"/>
        <w:numPr>
          <w:ilvl w:val="0"/>
          <w:numId w:val="1013"/>
        </w:numPr>
      </w:pPr>
      <w:r>
        <w:t xml:space="preserve">AFFO per share exceeds $1.40.</w:t>
      </w:r>
    </w:p>
    <w:p>
      <w:pPr>
        <w:pStyle w:val="Compact"/>
        <w:numPr>
          <w:ilvl w:val="0"/>
          <w:numId w:val="1013"/>
        </w:numPr>
      </w:pPr>
      <w:r>
        <w:t xml:space="preserve">Data-center leasing is tracking substantially above 100 MW.</w:t>
      </w:r>
    </w:p>
    <w:p>
      <w:pPr>
        <w:pStyle w:val="Compact"/>
        <w:numPr>
          <w:ilvl w:val="0"/>
          <w:numId w:val="1013"/>
        </w:numPr>
      </w:pPr>
      <w:r>
        <w:t xml:space="preserve">ALM growth remains volume-driven with good margins.</w:t>
      </w:r>
    </w:p>
    <w:p>
      <w:pPr>
        <w:pStyle w:val="Compact"/>
        <w:numPr>
          <w:ilvl w:val="0"/>
          <w:numId w:val="1013"/>
        </w:numPr>
      </w:pPr>
      <w:r>
        <w:t xml:space="preserve">Full-year revenue, EBITDA and AFFO guidance is raised.</w:t>
      </w:r>
    </w:p>
    <w:p>
      <w:pPr>
        <w:pStyle w:val="Compact"/>
        <w:numPr>
          <w:ilvl w:val="0"/>
          <w:numId w:val="1013"/>
        </w:numPr>
      </w:pPr>
      <w:r>
        <w:t xml:space="preserve">Leverage remains around or below 4.8 times.</w:t>
      </w:r>
    </w:p>
    <w:p>
      <w:pPr>
        <w:pStyle w:val="FirstParagraph"/>
      </w:pPr>
      <w:r>
        <w:t xml:space="preserve">This would validate the premium valuation and reinforce IRM’s transformation from a records-storage REIT into a broader data-infrastructure and information-management growth platform.</w:t>
      </w:r>
    </w:p>
    <w:bookmarkEnd w:id="19"/>
    <w:bookmarkStart w:id="20" w:name="base-case"/>
    <w:p>
      <w:pPr>
        <w:pStyle w:val="Heading3"/>
      </w:pPr>
      <w:r>
        <w:t xml:space="preserve">Base case</w:t>
      </w:r>
    </w:p>
    <w:p>
      <w:pPr>
        <w:pStyle w:val="Compact"/>
        <w:numPr>
          <w:ilvl w:val="0"/>
          <w:numId w:val="1014"/>
        </w:numPr>
      </w:pPr>
      <w:r>
        <w:t xml:space="preserve">Results are close to Q2 guidance.</w:t>
      </w:r>
    </w:p>
    <w:p>
      <w:pPr>
        <w:pStyle w:val="Compact"/>
        <w:numPr>
          <w:ilvl w:val="0"/>
          <w:numId w:val="1014"/>
        </w:numPr>
      </w:pPr>
      <w:r>
        <w:t xml:space="preserve">Data-center leasing progresses, but major contracts remain timing-dependent.</w:t>
      </w:r>
    </w:p>
    <w:p>
      <w:pPr>
        <w:pStyle w:val="Compact"/>
        <w:numPr>
          <w:ilvl w:val="0"/>
          <w:numId w:val="1014"/>
        </w:numPr>
      </w:pPr>
      <w:r>
        <w:t xml:space="preserve">ALM moderates from Q1’s exceptional growth rate.</w:t>
      </w:r>
    </w:p>
    <w:p>
      <w:pPr>
        <w:pStyle w:val="Compact"/>
        <w:numPr>
          <w:ilvl w:val="0"/>
          <w:numId w:val="1014"/>
        </w:numPr>
      </w:pPr>
      <w:r>
        <w:t xml:space="preserve">Full-year guidance is reaffirmed or raised only modestly.</w:t>
      </w:r>
    </w:p>
    <w:p>
      <w:pPr>
        <w:pStyle w:val="Compact"/>
        <w:numPr>
          <w:ilvl w:val="0"/>
          <w:numId w:val="1014"/>
        </w:numPr>
      </w:pPr>
      <w:r>
        <w:t xml:space="preserve">Global RIM continues steady organic growth.</w:t>
      </w:r>
    </w:p>
    <w:p>
      <w:pPr>
        <w:pStyle w:val="FirstParagraph"/>
      </w:pPr>
      <w:r>
        <w:t xml:space="preserve">Operationally this would be a sound quarter, but the share-price reaction could be muted given the stock’s strong year-to-date performance.</w:t>
      </w:r>
    </w:p>
    <w:bookmarkEnd w:id="20"/>
    <w:bookmarkStart w:id="21" w:name="bear-case"/>
    <w:p>
      <w:pPr>
        <w:pStyle w:val="Heading3"/>
      </w:pPr>
      <w:r>
        <w:t xml:space="preserve">Bear case</w:t>
      </w:r>
    </w:p>
    <w:p>
      <w:pPr>
        <w:pStyle w:val="Compact"/>
        <w:numPr>
          <w:ilvl w:val="0"/>
          <w:numId w:val="1015"/>
        </w:numPr>
      </w:pPr>
      <w:r>
        <w:t xml:space="preserve">Q2 misses the company’s EBITDA or AFFO expectations.</w:t>
      </w:r>
    </w:p>
    <w:p>
      <w:pPr>
        <w:pStyle w:val="Compact"/>
        <w:numPr>
          <w:ilvl w:val="0"/>
          <w:numId w:val="1015"/>
        </w:numPr>
      </w:pPr>
      <w:r>
        <w:t xml:space="preserve">ALM resale pricing normalizes faster than expected.</w:t>
      </w:r>
    </w:p>
    <w:p>
      <w:pPr>
        <w:pStyle w:val="Compact"/>
        <w:numPr>
          <w:ilvl w:val="0"/>
          <w:numId w:val="1015"/>
        </w:numPr>
      </w:pPr>
      <w:r>
        <w:t xml:space="preserve">Large data-center leases are delayed or require more capital.</w:t>
      </w:r>
    </w:p>
    <w:p>
      <w:pPr>
        <w:pStyle w:val="Compact"/>
        <w:numPr>
          <w:ilvl w:val="0"/>
          <w:numId w:val="1015"/>
        </w:numPr>
      </w:pPr>
      <w:r>
        <w:t xml:space="preserve">Global RIM pricing or volumes soften.</w:t>
      </w:r>
    </w:p>
    <w:p>
      <w:pPr>
        <w:pStyle w:val="Compact"/>
        <w:numPr>
          <w:ilvl w:val="0"/>
          <w:numId w:val="1015"/>
        </w:numPr>
      </w:pPr>
      <w:r>
        <w:t xml:space="preserve">Full-year guidance is merely maintained despite Q1’s outperformance—or reduced.</w:t>
      </w:r>
    </w:p>
    <w:p>
      <w:pPr>
        <w:pStyle w:val="Compact"/>
        <w:numPr>
          <w:ilvl w:val="0"/>
          <w:numId w:val="1015"/>
        </w:numPr>
      </w:pPr>
      <w:r>
        <w:t xml:space="preserve">Leverage rises as development spending remains elevated.</w:t>
      </w:r>
    </w:p>
    <w:p>
      <w:pPr>
        <w:pStyle w:val="FirstParagraph"/>
      </w:pPr>
      <w:r>
        <w:t xml:space="preserve">The greatest risk is not a collapse in the stable records business. It is that growth expectations for data centers and ALM prove too aggressive relative to the capital being committed.</w:t>
      </w:r>
    </w:p>
    <w:bookmarkEnd w:id="21"/>
    <w:bookmarkEnd w:id="22"/>
    <w:bookmarkStart w:id="23" w:name="bottom-line"/>
    <w:p>
      <w:pPr>
        <w:pStyle w:val="Heading2"/>
      </w:pPr>
      <w:r>
        <w:t xml:space="preserve">Bottom line</w:t>
      </w:r>
    </w:p>
    <w:p>
      <w:pPr>
        <w:pStyle w:val="FirstParagraph"/>
      </w:pPr>
      <w:r>
        <w:t xml:space="preserve">IRM enters Q2 with excellent operating momentum but a much less forgiving valuation. The quarter should comfortably show double-digit year-over-year growth; that is already embedded in management’s guidance.</w:t>
      </w:r>
    </w:p>
    <w:p>
      <w:pPr>
        <w:pStyle w:val="BodyText"/>
      </w:pPr>
      <w:r>
        <w:t xml:space="preserve">The more important questions are:</w:t>
      </w:r>
    </w:p>
    <w:p>
      <w:pPr>
        <w:pStyle w:val="Compact"/>
        <w:numPr>
          <w:ilvl w:val="0"/>
          <w:numId w:val="1016"/>
        </w:numPr>
      </w:pPr>
      <w:r>
        <w:rPr>
          <w:b/>
          <w:bCs/>
        </w:rPr>
        <w:t xml:space="preserve">How far above 100 MW can 2026 data-center leasing finish?</w:t>
      </w:r>
    </w:p>
    <w:p>
      <w:pPr>
        <w:pStyle w:val="Compact"/>
        <w:numPr>
          <w:ilvl w:val="0"/>
          <w:numId w:val="1016"/>
        </w:numPr>
      </w:pPr>
      <w:r>
        <w:rPr>
          <w:b/>
          <w:bCs/>
        </w:rPr>
        <w:t xml:space="preserve">Is ALM growth being driven by sustainable volumes rather than component prices?</w:t>
      </w:r>
    </w:p>
    <w:p>
      <w:pPr>
        <w:pStyle w:val="Compact"/>
        <w:numPr>
          <w:ilvl w:val="0"/>
          <w:numId w:val="1016"/>
        </w:numPr>
      </w:pPr>
      <w:r>
        <w:rPr>
          <w:b/>
          <w:bCs/>
        </w:rPr>
        <w:t xml:space="preserve">Can records-management pricing and margins remain resilient?</w:t>
      </w:r>
    </w:p>
    <w:p>
      <w:pPr>
        <w:pStyle w:val="Compact"/>
        <w:numPr>
          <w:ilvl w:val="0"/>
          <w:numId w:val="1016"/>
        </w:numPr>
      </w:pPr>
      <w:r>
        <w:rPr>
          <w:b/>
          <w:bCs/>
        </w:rPr>
        <w:t xml:space="preserve">Will management raise full-year guidance again?</w:t>
      </w:r>
    </w:p>
    <w:p>
      <w:pPr>
        <w:pStyle w:val="Compact"/>
        <w:numPr>
          <w:ilvl w:val="0"/>
          <w:numId w:val="1016"/>
        </w:numPr>
      </w:pPr>
      <w:r>
        <w:rPr>
          <w:b/>
          <w:bCs/>
        </w:rPr>
        <w:t xml:space="preserve">Can IRM fund its development pipeline while holding leverage near 4.8 times?</w:t>
      </w:r>
    </w:p>
    <w:p>
      <w:pPr>
        <w:pStyle w:val="FirstParagraph"/>
      </w:pPr>
      <w:r>
        <w:t xml:space="preserve">A straightforward “meet and maintain” quarter may be operationally satisfactory, but likely would not fully satisfy expectations after the stock’s roughly 51% year-to-date increase. The strongest outcome would combine an earnings beat, a materially higher leasing outlook, evidence of durable ALM volume growth, and another full-year guidance increase.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2026-08-05T00:14:06Z</dcterms:created>
  <dcterms:modified xsi:type="dcterms:W3CDTF">2026-08-05T00:14:06Z</dcterms:modified>
</cp:coreProperties>
</file>

<file path=docProps/custom.xml><?xml version="1.0" encoding="utf-8"?>
<Properties xmlns="http://schemas.openxmlformats.org/officeDocument/2006/custom-properties" xmlns:vt="http://schemas.openxmlformats.org/officeDocument/2006/docPropsVTypes"/>
</file>