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2678c67b4744aff4f5eec8fe7e2ff3d61c052f5"/>
    <w:p>
      <w:pPr>
        <w:pStyle w:val="Heading1"/>
      </w:pPr>
      <w:r>
        <w:t xml:space="preserve">Iron Mountain (NYSE: IRM) — 2Q26 Earnings Preview</w:t>
      </w:r>
    </w:p>
    <w:p>
      <w:pPr>
        <w:pStyle w:val="BlockText"/>
      </w:pPr>
      <w:r>
        <w:rPr>
          <w:b/>
          <w:bCs/>
        </w:rPr>
        <w:t xml:space="preserve">Timing note:</w:t>
      </w:r>
      <w:r>
        <w:t xml:space="preserve"> </w:t>
      </w:r>
      <w:r>
        <w:t xml:space="preserve">Iron Mountain is scheduled to report</w:t>
      </w:r>
      <w:r>
        <w:t xml:space="preserve"> </w:t>
      </w:r>
      <w:r>
        <w:rPr>
          <w:b/>
          <w:bCs/>
        </w:rPr>
        <w:t xml:space="preserve">2Q 2026 results before the market opens on Wednesday, August 5, 2026</w:t>
      </w:r>
      <w:r>
        <w:t xml:space="preserve">, with its conference call at</w:t>
      </w:r>
      <w:r>
        <w:t xml:space="preserve"> </w:t>
      </w:r>
      <w:r>
        <w:rPr>
          <w:b/>
          <w:bCs/>
        </w:rPr>
        <w:t xml:space="preserve">8:30 a.m. ET</w:t>
      </w:r>
      <w:r>
        <w:t xml:space="preserve">. That is</w:t>
      </w:r>
      <w:r>
        <w:t xml:space="preserve"> </w:t>
      </w:r>
      <w:r>
        <w:rPr>
          <w:b/>
          <w:bCs/>
        </w:rPr>
        <w:t xml:space="preserve">today</w:t>
      </w:r>
      <w:r>
        <w:t xml:space="preserve">, not tomorrow. This preview uses information available through the August 4 close.</w:t>
      </w:r>
    </w:p>
    <w:bookmarkStart w:id="9" w:name="Xa9a5f553d16c7a139f011e7f51fb9d57841b633"/>
    <w:p>
      <w:pPr>
        <w:pStyle w:val="Heading2"/>
      </w:pPr>
      <w:r>
        <w:t xml:space="preserve">Investment framing: execution needs to remain exceptional</w:t>
      </w:r>
    </w:p>
    <w:p>
      <w:pPr>
        <w:pStyle w:val="FirstParagraph"/>
      </w:pPr>
      <w:r>
        <w:t xml:space="preserve">Iron Mountain enters earnings after a very strong first quarter and a substantial rerating in its stock. IRM closed at</w:t>
      </w:r>
      <w:r>
        <w:t xml:space="preserve"> </w:t>
      </w:r>
      <w:r>
        <w:rPr>
          <w:b/>
          <w:bCs/>
        </w:rPr>
        <w:t xml:space="preserve">$125.54 on August 4</w:t>
      </w:r>
      <w:r>
        <w:t xml:space="preserve">, up roughly</w:t>
      </w:r>
      <w:r>
        <w:t xml:space="preserve"> </w:t>
      </w:r>
      <w:r>
        <w:rPr>
          <w:b/>
          <w:bCs/>
        </w:rPr>
        <w:t xml:space="preserve">51% year to date</w:t>
      </w:r>
      <w:r>
        <w:t xml:space="preserve">, though about</w:t>
      </w:r>
      <w:r>
        <w:t xml:space="preserve"> </w:t>
      </w:r>
      <w:r>
        <w:rPr>
          <w:b/>
          <w:bCs/>
        </w:rPr>
        <w:t xml:space="preserve">5.7% below</w:t>
      </w:r>
      <w:r>
        <w:t xml:space="preserve"> </w:t>
      </w:r>
      <w:r>
        <w:t xml:space="preserve">its June 23 closing high of $133.06.</w:t>
      </w:r>
    </w:p>
    <w:p>
      <w:pPr>
        <w:pStyle w:val="BodyText"/>
      </w:pPr>
      <w:r>
        <w:t xml:space="preserve">The core question is no longer whether the company can grow: Q1 showed that it can. The key issue is whether Iron Mountain can</w:t>
      </w:r>
      <w:r>
        <w:t xml:space="preserve"> </w:t>
      </w:r>
      <w:r>
        <w:rPr>
          <w:b/>
          <w:bCs/>
        </w:rPr>
        <w:t xml:space="preserve">sustain growth and cash-flow conversion at a level that validates elevated expectations</w:t>
      </w:r>
      <w:r>
        <w:t xml:space="preserve">, particularly across:</w:t>
      </w:r>
    </w:p>
    <w:p>
      <w:pPr>
        <w:pStyle w:val="Compact"/>
        <w:numPr>
          <w:ilvl w:val="0"/>
          <w:numId w:val="1001"/>
        </w:numPr>
      </w:pPr>
      <w:r>
        <w:rPr>
          <w:b/>
          <w:bCs/>
        </w:rPr>
        <w:t xml:space="preserve">Data-center leasing, pricing, and capacity delivery</w:t>
      </w:r>
    </w:p>
    <w:p>
      <w:pPr>
        <w:pStyle w:val="Compact"/>
        <w:numPr>
          <w:ilvl w:val="0"/>
          <w:numId w:val="1001"/>
        </w:numPr>
      </w:pPr>
      <w:r>
        <w:rPr>
          <w:b/>
          <w:bCs/>
        </w:rPr>
        <w:t xml:space="preserve">Asset lifecycle management (ALM) growth after an exceptional Q1</w:t>
      </w:r>
    </w:p>
    <w:p>
      <w:pPr>
        <w:pStyle w:val="Compact"/>
        <w:numPr>
          <w:ilvl w:val="0"/>
          <w:numId w:val="1001"/>
        </w:numPr>
      </w:pPr>
      <w:r>
        <w:rPr>
          <w:b/>
          <w:bCs/>
        </w:rPr>
        <w:t xml:space="preserve">Durability of storage revenue management and physical-records volumes</w:t>
      </w:r>
    </w:p>
    <w:p>
      <w:pPr>
        <w:pStyle w:val="Compact"/>
        <w:numPr>
          <w:ilvl w:val="0"/>
          <w:numId w:val="1001"/>
        </w:numPr>
      </w:pPr>
      <w:r>
        <w:rPr>
          <w:b/>
          <w:bCs/>
        </w:rPr>
        <w:t xml:space="preserve">Whether management again raises—or at least reinforces—its full-year outlook</w:t>
      </w:r>
    </w:p>
    <w:p>
      <w:pPr>
        <w:pStyle w:val="Compact"/>
        <w:numPr>
          <w:ilvl w:val="0"/>
          <w:numId w:val="1001"/>
        </w:numPr>
      </w:pPr>
      <w:r>
        <w:rPr>
          <w:b/>
          <w:bCs/>
        </w:rPr>
        <w:t xml:space="preserve">Funding discipline while the company invests heavily in data-center development</w:t>
      </w:r>
    </w:p>
    <w:p>
      <w:pPr>
        <w:pStyle w:val="FirstParagraph"/>
      </w:pPr>
      <w:r>
        <w:t xml:space="preserve">The setup looks constructive operationally, but the bar is high. A simple in-line quarter may not be enough if it comes with softer data-center leasing, a less favorable ALM outlook, or more cautious comments around capital needs and financing.</w:t>
      </w:r>
    </w:p>
    <w:p>
      <w:r>
        <w:pict>
          <v:rect style="width:0;height:1.5pt" o:hralign="center" o:hrstd="t" o:hr="t"/>
        </w:pict>
      </w:r>
    </w:p>
    <w:bookmarkEnd w:id="9"/>
    <w:bookmarkStart w:id="10" w:name="X5c24b6d074c6ffabd9178f3e8aa895cf3636f1d"/>
    <w:p>
      <w:pPr>
        <w:pStyle w:val="Heading2"/>
      </w:pPr>
      <w:r>
        <w:t xml:space="preserve">What Iron Mountain has guided to for 2Q26</w:t>
      </w:r>
    </w:p>
    <w:p>
      <w:pPr>
        <w:pStyle w:val="FirstParagraph"/>
      </w:pPr>
      <w:r>
        <w:t xml:space="preserve">The most useful benchmark is management’s own Q2 outlook, issued with Q1 results: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company outlook</w:t>
            </w:r>
          </w:p>
        </w:tc>
        <w:tc>
          <w:tcPr/>
          <w:p>
            <w:pPr>
              <w:pStyle w:val="Compact"/>
              <w:jc w:val="right"/>
            </w:pPr>
            <w:r>
              <w:t xml:space="preserve">Year-over-year growth</w:t>
            </w:r>
          </w:p>
        </w:tc>
      </w:tr>
      <w:tr>
        <w:tc>
          <w:tcPr/>
          <w:p>
            <w:pPr>
              <w:pStyle w:val="Compact"/>
            </w:pPr>
            <w:r>
              <w:t xml:space="preserve">Revenue</w:t>
            </w:r>
          </w:p>
        </w:tc>
        <w:tc>
          <w:tcPr/>
          <w:p>
            <w:pPr>
              <w:pStyle w:val="Compact"/>
              <w:jc w:val="right"/>
            </w:pPr>
            <w:r>
              <w:rPr>
                <w:b/>
                <w:bCs/>
              </w:rPr>
              <w:t xml:space="preserve">~$1.965 billion</w:t>
            </w:r>
          </w:p>
        </w:tc>
        <w:tc>
          <w:tcPr/>
          <w:p>
            <w:pPr>
              <w:pStyle w:val="Compact"/>
              <w:jc w:val="right"/>
            </w:pPr>
            <w:r>
              <w:t xml:space="preserve">~15%</w:t>
            </w:r>
          </w:p>
        </w:tc>
      </w:tr>
      <w:tr>
        <w:tc>
          <w:tcPr/>
          <w:p>
            <w:pPr>
              <w:pStyle w:val="Compact"/>
            </w:pPr>
            <w:r>
              <w:t xml:space="preserve">Adjusted EBITDA</w:t>
            </w:r>
          </w:p>
        </w:tc>
        <w:tc>
          <w:tcPr/>
          <w:p>
            <w:pPr>
              <w:pStyle w:val="Compact"/>
              <w:jc w:val="right"/>
            </w:pPr>
            <w:r>
              <w:rPr>
                <w:b/>
                <w:bCs/>
              </w:rPr>
              <w:t xml:space="preserve">~$715 million</w:t>
            </w:r>
          </w:p>
        </w:tc>
        <w:tc>
          <w:tcPr/>
          <w:p>
            <w:pPr>
              <w:pStyle w:val="Compact"/>
              <w:jc w:val="right"/>
            </w:pPr>
            <w:r>
              <w:t xml:space="preserve">~14%</w:t>
            </w:r>
          </w:p>
        </w:tc>
      </w:tr>
      <w:tr>
        <w:tc>
          <w:tcPr/>
          <w:p>
            <w:pPr>
              <w:pStyle w:val="Compact"/>
            </w:pPr>
            <w:r>
              <w:t xml:space="preserve">AFFO</w:t>
            </w:r>
          </w:p>
        </w:tc>
        <w:tc>
          <w:tcPr/>
          <w:p>
            <w:pPr>
              <w:pStyle w:val="Compact"/>
              <w:jc w:val="right"/>
            </w:pPr>
            <w:r>
              <w:rPr>
                <w:b/>
                <w:bCs/>
              </w:rPr>
              <w:t xml:space="preserve">~$418 million</w:t>
            </w:r>
          </w:p>
        </w:tc>
        <w:tc>
          <w:tcPr/>
          <w:p>
            <w:pPr>
              <w:pStyle w:val="Compact"/>
              <w:jc w:val="right"/>
            </w:pPr>
            <w:r>
              <w:t xml:space="preserve">~13%</w:t>
            </w:r>
          </w:p>
        </w:tc>
      </w:tr>
      <w:tr>
        <w:tc>
          <w:tcPr/>
          <w:p>
            <w:pPr>
              <w:pStyle w:val="Compact"/>
            </w:pPr>
            <w:r>
              <w:t xml:space="preserve">AFFO per share</w:t>
            </w:r>
          </w:p>
        </w:tc>
        <w:tc>
          <w:tcPr/>
          <w:p>
            <w:pPr>
              <w:pStyle w:val="Compact"/>
              <w:jc w:val="right"/>
            </w:pPr>
            <w:r>
              <w:rPr>
                <w:b/>
                <w:bCs/>
              </w:rPr>
              <w:t xml:space="preserve">~$1.40</w:t>
            </w:r>
          </w:p>
        </w:tc>
        <w:tc>
          <w:tcPr/>
          <w:p>
            <w:pPr>
              <w:pStyle w:val="Compact"/>
              <w:jc w:val="right"/>
            </w:pPr>
            <w:r>
              <w:t xml:space="preserve">~13%</w:t>
            </w:r>
          </w:p>
        </w:tc>
      </w:tr>
    </w:tbl>
    <w:p>
      <w:pPr>
        <w:pStyle w:val="BodyText"/>
      </w:pPr>
      <w:r>
        <w:t xml:space="preserve">A result above these levels—particularly on EBITDA and AFFO rather than revenue alone—would support the case that the company’s operating leverage remains intact despite rapid growth in lower-margin service-oriented businesses.</w:t>
      </w:r>
    </w:p>
    <w:p>
      <w:pPr>
        <w:pStyle w:val="BodyText"/>
      </w:pPr>
      <w:r>
        <w:t xml:space="preserve">Management’s full-year 2026 outlook following Q1 was: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FY26 guidance range</w:t>
            </w:r>
          </w:p>
        </w:tc>
        <w:tc>
          <w:tcPr/>
          <w:p>
            <w:pPr>
              <w:pStyle w:val="Compact"/>
              <w:jc w:val="right"/>
            </w:pPr>
            <w:r>
              <w:t xml:space="preserve">Midpoint growth</w:t>
            </w:r>
          </w:p>
        </w:tc>
      </w:tr>
      <w:tr>
        <w:tc>
          <w:tcPr/>
          <w:p>
            <w:pPr>
              <w:pStyle w:val="Compact"/>
            </w:pPr>
            <w:r>
              <w:t xml:space="preserve">Revenue</w:t>
            </w:r>
          </w:p>
        </w:tc>
        <w:tc>
          <w:tcPr/>
          <w:p>
            <w:pPr>
              <w:pStyle w:val="Compact"/>
              <w:jc w:val="right"/>
            </w:pPr>
            <m:oMath>
              <m:r>
                <m:t>7.825</m:t>
              </m:r>
              <m:r>
                <m:rPr>
                  <m:sty m:val="p"/>
                </m:rPr>
                <m:t>–</m:t>
              </m:r>
            </m:oMath>
            <w:r>
              <w:t xml:space="preserve">7.925 billion</w:t>
            </w:r>
          </w:p>
        </w:tc>
        <w:tc>
          <w:tcPr/>
          <w:p>
            <w:pPr>
              <w:pStyle w:val="Compact"/>
              <w:jc w:val="right"/>
            </w:pPr>
            <w:r>
              <w:t xml:space="preserve">~14%</w:t>
            </w:r>
          </w:p>
        </w:tc>
      </w:tr>
      <w:tr>
        <w:tc>
          <w:tcPr/>
          <w:p>
            <w:pPr>
              <w:pStyle w:val="Compact"/>
            </w:pPr>
            <w:r>
              <w:t xml:space="preserve">Adjusted EBITDA</w:t>
            </w:r>
          </w:p>
        </w:tc>
        <w:tc>
          <w:tcPr/>
          <w:p>
            <w:pPr>
              <w:pStyle w:val="Compact"/>
              <w:jc w:val="right"/>
            </w:pPr>
            <m:oMath>
              <m:r>
                <m:t>2.925</m:t>
              </m:r>
              <m:r>
                <m:rPr>
                  <m:sty m:val="p"/>
                </m:rPr>
                <m:t>–</m:t>
              </m:r>
            </m:oMath>
            <w:r>
              <w:t xml:space="preserve">2.965 billion</w:t>
            </w:r>
          </w:p>
        </w:tc>
        <w:tc>
          <w:tcPr/>
          <w:p>
            <w:pPr>
              <w:pStyle w:val="Compact"/>
              <w:jc w:val="right"/>
            </w:pPr>
            <w:r>
              <w:t xml:space="preserve">~14%</w:t>
            </w:r>
          </w:p>
        </w:tc>
      </w:tr>
      <w:tr>
        <w:tc>
          <w:tcPr/>
          <w:p>
            <w:pPr>
              <w:pStyle w:val="Compact"/>
            </w:pPr>
            <w:r>
              <w:t xml:space="preserve">AFFO</w:t>
            </w:r>
          </w:p>
        </w:tc>
        <w:tc>
          <w:tcPr/>
          <w:p>
            <w:pPr>
              <w:pStyle w:val="Compact"/>
              <w:jc w:val="right"/>
            </w:pPr>
            <m:oMath>
              <m:r>
                <m:t>1.735</m:t>
              </m:r>
              <m:r>
                <m:rPr>
                  <m:sty m:val="p"/>
                </m:rPr>
                <m:t>–</m:t>
              </m:r>
            </m:oMath>
            <w:r>
              <w:t xml:space="preserve">1.755 billion</w:t>
            </w:r>
          </w:p>
        </w:tc>
        <w:tc>
          <w:tcPr/>
          <w:p>
            <w:pPr>
              <w:pStyle w:val="Compact"/>
              <w:jc w:val="right"/>
            </w:pPr>
            <w:r>
              <w:t xml:space="preserve">~13%</w:t>
            </w:r>
          </w:p>
        </w:tc>
      </w:tr>
      <w:tr>
        <w:tc>
          <w:tcPr/>
          <w:p>
            <w:pPr>
              <w:pStyle w:val="Compact"/>
            </w:pPr>
            <w:r>
              <w:t xml:space="preserve">AFFO per share</w:t>
            </w:r>
          </w:p>
        </w:tc>
        <w:tc>
          <w:tcPr/>
          <w:p>
            <w:pPr>
              <w:pStyle w:val="Compact"/>
              <w:jc w:val="right"/>
            </w:pPr>
            <m:oMath>
              <m:r>
                <m:t>5.79</m:t>
              </m:r>
              <m:r>
                <m:rPr>
                  <m:sty m:val="p"/>
                </m:rPr>
                <m:t>–</m:t>
              </m:r>
            </m:oMath>
            <w:r>
              <w:t xml:space="preserve">5.86</w:t>
            </w:r>
          </w:p>
        </w:tc>
        <w:tc>
          <w:tcPr/>
          <w:p>
            <w:pPr>
              <w:pStyle w:val="Compact"/>
              <w:jc w:val="right"/>
            </w:pPr>
            <w:r>
              <w:t xml:space="preserve">~13%</w:t>
            </w:r>
          </w:p>
        </w:tc>
      </w:tr>
    </w:tbl>
    <w:p>
      <w:pPr>
        <w:pStyle w:val="BodyText"/>
      </w:pPr>
      <w:r>
        <w:t xml:space="preserve">At the midpoints, the guide implies roughly</w:t>
      </w:r>
      <w:r>
        <w:t xml:space="preserve"> </w:t>
      </w:r>
      <m:oMath>
        <m:r>
          <m:t>3.97</m:t>
        </m:r>
        <m:r>
          <m:t>b</m:t>
        </m:r>
        <m:r>
          <m:t>i</m:t>
        </m:r>
        <m:r>
          <m:t>l</m:t>
        </m:r>
        <m:r>
          <m:t>l</m:t>
        </m:r>
        <m:r>
          <m:t>i</m:t>
        </m:r>
        <m:r>
          <m:t>o</m:t>
        </m:r>
        <m:r>
          <m:t>n</m:t>
        </m:r>
        <m:r>
          <m:t>o</m:t>
        </m:r>
        <m:r>
          <m:t>f</m:t>
        </m:r>
        <m:r>
          <m:t>s</m:t>
        </m:r>
        <m:r>
          <m:t>e</m:t>
        </m:r>
        <m:r>
          <m:t>c</m:t>
        </m:r>
        <m:r>
          <m:t>o</m:t>
        </m:r>
        <m:r>
          <m:t>n</m:t>
        </m:r>
        <m:r>
          <m:t>d</m:t>
        </m:r>
        <m:r>
          <m:rPr>
            <m:sty m:val="p"/>
          </m:rPr>
          <m:t>−</m:t>
        </m:r>
        <m:r>
          <m:t>h</m:t>
        </m:r>
        <m:r>
          <m:t>a</m:t>
        </m:r>
        <m:r>
          <m:t>l</m:t>
        </m:r>
        <m:r>
          <m:t>f</m:t>
        </m:r>
        <m:r>
          <m:t>r</m:t>
        </m:r>
        <m:r>
          <m:t>e</m:t>
        </m:r>
        <m:r>
          <m:t>v</m:t>
        </m:r>
        <m:r>
          <m:t>e</m:t>
        </m:r>
        <m:r>
          <m:t>n</m:t>
        </m:r>
        <m:r>
          <m:t>u</m:t>
        </m:r>
        <m:r>
          <m:t>e</m:t>
        </m:r>
        <m:r>
          <m:rPr>
            <m:sty m:val="p"/>
          </m:rPr>
          <m:t>*</m:t>
        </m:r>
        <m:r>
          <m:rPr>
            <m:sty m:val="p"/>
          </m:rPr>
          <m:t>*</m:t>
        </m:r>
        <m:r>
          <m:rPr>
            <m:sty m:val="p"/>
          </m:rPr>
          <m:t>,</m:t>
        </m:r>
        <m:r>
          <m:rPr>
            <m:sty m:val="p"/>
          </m:rPr>
          <m:t>*</m:t>
        </m:r>
        <m:r>
          <m:rPr>
            <m:sty m:val="p"/>
          </m:rPr>
          <m:t>*</m:t>
        </m:r>
      </m:oMath>
      <w:r>
        <w:rPr>
          <w:b/>
          <w:bCs/>
        </w:rPr>
        <w:t xml:space="preserve">1.52 billion of second-half adjusted EBITDA</w:t>
      </w:r>
      <w:r>
        <w:t xml:space="preserve">, and</w:t>
      </w:r>
      <w:r>
        <w:t xml:space="preserve"> </w:t>
      </w:r>
      <w:r>
        <w:rPr>
          <w:b/>
          <w:bCs/>
        </w:rPr>
        <w:t xml:space="preserve">$901 million of second-half AFFO</w:t>
      </w:r>
      <w:r>
        <w:t xml:space="preserve"> </w:t>
      </w:r>
      <w:r>
        <w:t xml:space="preserve">after accounting for Q1 actuals and Q2 guidance. This means management retains room to lift the full-year forecast if Q2 again exceeds plan, but investors will scrutinize whether the incremental upside is recurring or simply timing-related.</w:t>
      </w:r>
    </w:p>
    <w:p>
      <w:r>
        <w:pict>
          <v:rect style="width:0;height:1.5pt" o:hralign="center" o:hrstd="t" o:hr="t"/>
        </w:pict>
      </w:r>
    </w:p>
    <w:bookmarkEnd w:id="10"/>
    <w:bookmarkStart w:id="11" w:name="the-major-swing-factors"/>
    <w:p>
      <w:pPr>
        <w:pStyle w:val="Heading2"/>
      </w:pPr>
      <w:r>
        <w:t xml:space="preserve">The major swing factors</w:t>
      </w:r>
    </w:p>
    <w:bookmarkEnd w:id="11"/>
    <w:bookmarkStart w:id="13" w:name="Xc175a19e8dfe5dab9d51a406f4f62e0bb55cc27"/>
    <w:p>
      <w:pPr>
        <w:pStyle w:val="Heading2"/>
      </w:pPr>
      <w:r>
        <w:t xml:space="preserve">1. Data centers: leasing evidence matters more than reported revenue</w:t>
      </w:r>
    </w:p>
    <w:p>
      <w:pPr>
        <w:pStyle w:val="FirstParagraph"/>
      </w:pPr>
      <w:r>
        <w:t xml:space="preserve">Data centers are the centerpiece of the long-term thesis. In Q1, Global Data Center revenue increased</w:t>
      </w:r>
      <w:r>
        <w:t xml:space="preserve"> </w:t>
      </w:r>
      <w:r>
        <w:rPr>
          <w:b/>
          <w:bCs/>
        </w:rPr>
        <w:t xml:space="preserve">47% year over year to</w:t>
      </w:r>
      <w:r>
        <w:rPr>
          <w:b/>
          <w:bCs/>
        </w:rPr>
        <w:t xml:space="preserve"> </w:t>
      </w:r>
      <m:oMath>
        <m:r>
          <m:t>255</m:t>
        </m:r>
        <m:r>
          <m:t>m</m:t>
        </m:r>
        <m:r>
          <m:t>i</m:t>
        </m:r>
        <m:r>
          <m:t>l</m:t>
        </m:r>
        <m:r>
          <m:t>l</m:t>
        </m:r>
        <m:r>
          <m:t>i</m:t>
        </m:r>
        <m:r>
          <m:t>o</m:t>
        </m:r>
        <m:r>
          <m:t>n</m:t>
        </m:r>
        <m:r>
          <m:rPr>
            <m:sty m:val="p"/>
          </m:rPr>
          <m:t>*</m:t>
        </m:r>
        <m:r>
          <m:rPr>
            <m:sty m:val="p"/>
          </m:rPr>
          <m:t>*</m:t>
        </m:r>
        <m:r>
          <m:rPr>
            <m:sty m:val="p"/>
          </m:rPr>
          <m:t>,</m:t>
        </m:r>
        <m:r>
          <m:t>s</m:t>
        </m:r>
        <m:r>
          <m:t>u</m:t>
        </m:r>
        <m:r>
          <m:t>p</m:t>
        </m:r>
        <m:r>
          <m:t>p</m:t>
        </m:r>
        <m:r>
          <m:t>o</m:t>
        </m:r>
        <m:r>
          <m:t>r</m:t>
        </m:r>
        <m:r>
          <m:t>t</m:t>
        </m:r>
        <m:r>
          <m:t>e</m:t>
        </m:r>
        <m:r>
          <m:t>d</m:t>
        </m:r>
        <m:r>
          <m:t>b</m:t>
        </m:r>
        <m:r>
          <m:t>y</m:t>
        </m:r>
        <m:r>
          <m:t>l</m:t>
        </m:r>
        <m:r>
          <m:t>e</m:t>
        </m:r>
        <m:r>
          <m:t>a</m:t>
        </m:r>
        <m:r>
          <m:t>s</m:t>
        </m:r>
        <m:r>
          <m:t>e</m:t>
        </m:r>
        <m:r>
          <m:t>c</m:t>
        </m:r>
        <m:r>
          <m:t>o</m:t>
        </m:r>
        <m:r>
          <m:t>m</m:t>
        </m:r>
        <m:r>
          <m:t>m</m:t>
        </m:r>
        <m:r>
          <m:t>e</m:t>
        </m:r>
        <m:r>
          <m:t>n</m:t>
        </m:r>
        <m:r>
          <m:t>c</m:t>
        </m:r>
        <m:r>
          <m:t>e</m:t>
        </m:r>
        <m:r>
          <m:t>m</m:t>
        </m:r>
        <m:r>
          <m:t>e</m:t>
        </m:r>
        <m:r>
          <m:t>n</m:t>
        </m:r>
        <m:r>
          <m:t>t</m:t>
        </m:r>
        <m:r>
          <m:t>s</m:t>
        </m:r>
        <m:r>
          <m:rPr>
            <m:sty m:val="p"/>
          </m:rPr>
          <m:t>,</m:t>
        </m:r>
        <m:r>
          <m:t>f</m:t>
        </m:r>
        <m:r>
          <m:t>a</m:t>
        </m:r>
        <m:r>
          <m:t>v</m:t>
        </m:r>
        <m:r>
          <m:t>o</m:t>
        </m:r>
        <m:r>
          <m:t>r</m:t>
        </m:r>
        <m:r>
          <m:t>a</m:t>
        </m:r>
        <m:r>
          <m:t>b</m:t>
        </m:r>
        <m:r>
          <m:t>l</m:t>
        </m:r>
        <m:r>
          <m:t>e</m:t>
        </m:r>
        <m:r>
          <m:t>p</m:t>
        </m:r>
        <m:r>
          <m:t>r</m:t>
        </m:r>
        <m:r>
          <m:t>i</m:t>
        </m:r>
        <m:r>
          <m:t>c</m:t>
        </m:r>
        <m:r>
          <m:t>i</m:t>
        </m:r>
        <m:r>
          <m:t>n</m:t>
        </m:r>
        <m:r>
          <m:t>g</m:t>
        </m:r>
        <m:r>
          <m:rPr>
            <m:sty m:val="p"/>
          </m:rPr>
          <m:t>,</m:t>
        </m:r>
        <m:r>
          <m:t>a</m:t>
        </m:r>
        <m:r>
          <m:t>n</m:t>
        </m:r>
        <m:r>
          <m:t>d</m:t>
        </m:r>
        <m:r>
          <m:t>f</m:t>
        </m:r>
        <m:r>
          <m:t>a</m:t>
        </m:r>
        <m:r>
          <m:t>s</m:t>
        </m:r>
        <m:r>
          <m:t>t</m:t>
        </m:r>
        <m:r>
          <m:t>e</m:t>
        </m:r>
        <m:r>
          <m:t>r</m:t>
        </m:r>
        <m:r>
          <m:rPr>
            <m:sty m:val="p"/>
          </m:rPr>
          <m:t>−</m:t>
        </m:r>
        <m:r>
          <m:t>t</m:t>
        </m:r>
        <m:r>
          <m:t>h</m:t>
        </m:r>
        <m:r>
          <m:t>a</m:t>
        </m:r>
        <m:r>
          <m:t>n</m:t>
        </m:r>
        <m:r>
          <m:rPr>
            <m:sty m:val="p"/>
          </m:rPr>
          <m:t>−</m:t>
        </m:r>
        <m:r>
          <m:t>e</m:t>
        </m:r>
        <m:r>
          <m:t>x</m:t>
        </m:r>
        <m:r>
          <m:t>p</m:t>
        </m:r>
        <m:r>
          <m:t>e</m:t>
        </m:r>
        <m:r>
          <m:t>c</m:t>
        </m:r>
        <m:r>
          <m:t>t</m:t>
        </m:r>
        <m:r>
          <m:t>e</m:t>
        </m:r>
        <m:r>
          <m:t>d</m:t>
        </m:r>
        <m:r>
          <m:t>c</m:t>
        </m:r>
        <m:r>
          <m:t>u</m:t>
        </m:r>
        <m:r>
          <m:t>s</m:t>
        </m:r>
        <m:r>
          <m:t>t</m:t>
        </m:r>
        <m:r>
          <m:t>o</m:t>
        </m:r>
        <m:r>
          <m:t>m</m:t>
        </m:r>
        <m:r>
          <m:t>e</m:t>
        </m:r>
        <m:r>
          <m:t>r</m:t>
        </m:r>
        <m:r>
          <m:t>p</m:t>
        </m:r>
        <m:r>
          <m:t>o</m:t>
        </m:r>
        <m:r>
          <m:t>w</m:t>
        </m:r>
        <m:r>
          <m:t>e</m:t>
        </m:r>
        <m:r>
          <m:t>r</m:t>
        </m:r>
        <m:r>
          <m:t>r</m:t>
        </m:r>
        <m:r>
          <m:t>a</m:t>
        </m:r>
        <m:r>
          <m:t>m</m:t>
        </m:r>
        <m:r>
          <m:t>p</m:t>
        </m:r>
        <m:r>
          <m:t>s</m:t>
        </m:r>
        <m:r>
          <m:rPr>
            <m:sty m:val="p"/>
          </m:rPr>
          <m:t>.</m:t>
        </m:r>
        <m:r>
          <m:t>D</m:t>
        </m:r>
        <m:r>
          <m:t>a</m:t>
        </m:r>
        <m:r>
          <m:t>t</m:t>
        </m:r>
        <m:r>
          <m:t>a</m:t>
        </m:r>
        <m:r>
          <m:rPr>
            <m:sty m:val="p"/>
          </m:rPr>
          <m:t>−</m:t>
        </m:r>
        <m:r>
          <m:t>c</m:t>
        </m:r>
        <m:r>
          <m:t>e</m:t>
        </m:r>
        <m:r>
          <m:t>n</m:t>
        </m:r>
        <m:r>
          <m:t>t</m:t>
        </m:r>
        <m:r>
          <m:t>e</m:t>
        </m:r>
        <m:r>
          <m:t>r</m:t>
        </m:r>
        <m:r>
          <m:t>E</m:t>
        </m:r>
        <m:r>
          <m:t>B</m:t>
        </m:r>
        <m:r>
          <m:t>I</m:t>
        </m:r>
        <m:r>
          <m:t>T</m:t>
        </m:r>
        <m:r>
          <m:t>D</m:t>
        </m:r>
        <m:r>
          <m:t>A</m:t>
        </m:r>
        <m:r>
          <m:t>g</m:t>
        </m:r>
        <m:r>
          <m:t>r</m:t>
        </m:r>
        <m:r>
          <m:t>e</m:t>
        </m:r>
        <m:r>
          <m:t>w</m:t>
        </m:r>
        <m:r>
          <m:t>t</m:t>
        </m:r>
        <m:r>
          <m:t>o</m:t>
        </m:r>
        <m:r>
          <m:rPr>
            <m:sty m:val="p"/>
          </m:rPr>
          <m:t>*</m:t>
        </m:r>
        <m:r>
          <m:rPr>
            <m:sty m:val="p"/>
          </m:rPr>
          <m:t>*</m:t>
        </m:r>
      </m:oMath>
      <w:r>
        <w:rPr>
          <w:b/>
          <w:bCs/>
        </w:rPr>
        <w:t xml:space="preserve">133 million</w:t>
      </w:r>
      <w:r>
        <w:t xml:space="preserve">, with a reported margin of</w:t>
      </w:r>
      <w:r>
        <w:t xml:space="preserve"> </w:t>
      </w:r>
      <w:r>
        <w:rPr>
          <w:b/>
          <w:bCs/>
        </w:rPr>
        <w:t xml:space="preserve">52.1%</w:t>
      </w:r>
      <w:r>
        <w:t xml:space="preserve">.</w:t>
      </w:r>
    </w:p>
    <w:p>
      <w:pPr>
        <w:pStyle w:val="BodyText"/>
      </w:pPr>
      <w:r>
        <w:t xml:space="preserve">The more important forward indicators were very strong:</w:t>
      </w:r>
    </w:p>
    <w:p>
      <w:pPr>
        <w:pStyle w:val="Compact"/>
        <w:numPr>
          <w:ilvl w:val="0"/>
          <w:numId w:val="1002"/>
        </w:numPr>
      </w:pPr>
      <w:r>
        <w:rPr>
          <w:b/>
          <w:bCs/>
        </w:rPr>
        <w:t xml:space="preserve">22 MW</w:t>
      </w:r>
      <w:r>
        <w:t xml:space="preserve"> </w:t>
      </w:r>
      <w:r>
        <w:t xml:space="preserve">of new leases signed in Q1;</w:t>
      </w:r>
    </w:p>
    <w:p>
      <w:pPr>
        <w:pStyle w:val="Compact"/>
        <w:numPr>
          <w:ilvl w:val="0"/>
          <w:numId w:val="1002"/>
        </w:numPr>
      </w:pPr>
      <w:r>
        <w:rPr>
          <w:b/>
          <w:bCs/>
        </w:rPr>
        <w:t xml:space="preserve">24 MW</w:t>
      </w:r>
      <w:r>
        <w:t xml:space="preserve"> </w:t>
      </w:r>
      <w:r>
        <w:t xml:space="preserve">commenced in Q1;</w:t>
      </w:r>
    </w:p>
    <w:p>
      <w:pPr>
        <w:pStyle w:val="Compact"/>
        <w:numPr>
          <w:ilvl w:val="0"/>
          <w:numId w:val="1002"/>
        </w:numPr>
      </w:pPr>
      <w:r>
        <w:t xml:space="preserve">A further</w:t>
      </w:r>
      <w:r>
        <w:t xml:space="preserve"> </w:t>
      </w:r>
      <w:r>
        <w:rPr>
          <w:b/>
          <w:bCs/>
        </w:rPr>
        <w:t xml:space="preserve">10 MW</w:t>
      </w:r>
      <w:r>
        <w:t xml:space="preserve"> </w:t>
      </w:r>
      <w:r>
        <w:t xml:space="preserve">signed in April, bringing year-to-date leasing to</w:t>
      </w:r>
      <w:r>
        <w:t xml:space="preserve"> </w:t>
      </w:r>
      <w:r>
        <w:rPr>
          <w:b/>
          <w:bCs/>
        </w:rPr>
        <w:t xml:space="preserve">32 MW</w:t>
      </w:r>
      <w:r>
        <w:t xml:space="preserve"> </w:t>
      </w:r>
      <w:r>
        <w:t xml:space="preserve">as of late April;</w:t>
      </w:r>
    </w:p>
    <w:p>
      <w:pPr>
        <w:pStyle w:val="Compact"/>
        <w:numPr>
          <w:ilvl w:val="0"/>
          <w:numId w:val="1002"/>
        </w:numPr>
      </w:pPr>
      <w:r>
        <w:t xml:space="preserve">Management said it expected to finish 2026</w:t>
      </w:r>
      <w:r>
        <w:t xml:space="preserve"> </w:t>
      </w:r>
      <w:r>
        <w:rPr>
          <w:b/>
          <w:bCs/>
        </w:rPr>
        <w:t xml:space="preserve">meaningfully above</w:t>
      </w:r>
      <w:r>
        <w:t xml:space="preserve"> </w:t>
      </w:r>
      <w:r>
        <w:t xml:space="preserve">its prior goal of at least</w:t>
      </w:r>
      <w:r>
        <w:t xml:space="preserve"> </w:t>
      </w:r>
      <w:r>
        <w:rPr>
          <w:b/>
          <w:bCs/>
        </w:rPr>
        <w:t xml:space="preserve">100 MW</w:t>
      </w:r>
      <w:r>
        <w:t xml:space="preserve"> </w:t>
      </w:r>
      <w:r>
        <w:t xml:space="preserve">of leasing;</w:t>
      </w:r>
    </w:p>
    <w:p>
      <w:pPr>
        <w:pStyle w:val="Compact"/>
        <w:numPr>
          <w:ilvl w:val="0"/>
          <w:numId w:val="1002"/>
        </w:numPr>
      </w:pPr>
      <w:r>
        <w:t xml:space="preserve">Iron Mountain has approximately</w:t>
      </w:r>
      <w:r>
        <w:t xml:space="preserve"> </w:t>
      </w:r>
      <w:r>
        <w:rPr>
          <w:b/>
          <w:bCs/>
        </w:rPr>
        <w:t xml:space="preserve">400 MW of capacity expected to energize and become available for lease over the next 24 months</w:t>
      </w:r>
      <w:r>
        <w:t xml:space="preserve">;</w:t>
      </w:r>
    </w:p>
    <w:p>
      <w:pPr>
        <w:pStyle w:val="Compact"/>
        <w:numPr>
          <w:ilvl w:val="0"/>
          <w:numId w:val="1002"/>
        </w:numPr>
      </w:pPr>
      <w:r>
        <w:t xml:space="preserve">Future development capacity in Northern Virginia increased</w:t>
      </w:r>
      <w:r>
        <w:t xml:space="preserve"> </w:t>
      </w:r>
      <w:r>
        <w:rPr>
          <w:b/>
          <w:bCs/>
        </w:rPr>
        <w:t xml:space="preserve">20% to 195 MW</w:t>
      </w:r>
      <w:r>
        <w:t xml:space="preserve">.</w:t>
      </w:r>
    </w:p>
    <w:bookmarkStart w:id="12" w:name="what-to-watch"/>
    <w:p>
      <w:pPr>
        <w:pStyle w:val="Heading3"/>
      </w:pPr>
      <w:r>
        <w:t xml:space="preserve">What to watch</w:t>
      </w:r>
    </w:p>
    <w:p>
      <w:pPr>
        <w:pStyle w:val="Compact"/>
        <w:numPr>
          <w:ilvl w:val="0"/>
          <w:numId w:val="1003"/>
        </w:numPr>
      </w:pPr>
      <w:r>
        <w:t xml:space="preserve">New leasing signed year to date, especially large hyperscale commitments.</w:t>
      </w:r>
    </w:p>
    <w:p>
      <w:pPr>
        <w:pStyle w:val="Compact"/>
        <w:numPr>
          <w:ilvl w:val="0"/>
          <w:numId w:val="1003"/>
        </w:numPr>
      </w:pPr>
      <w:r>
        <w:t xml:space="preserve">Lease commencements and customer power-ramp behavior.</w:t>
      </w:r>
    </w:p>
    <w:p>
      <w:pPr>
        <w:pStyle w:val="Compact"/>
        <w:numPr>
          <w:ilvl w:val="0"/>
          <w:numId w:val="1003"/>
        </w:numPr>
      </w:pPr>
      <w:r>
        <w:t xml:space="preserve">Pricing on new leases and renewals.</w:t>
      </w:r>
    </w:p>
    <w:p>
      <w:pPr>
        <w:pStyle w:val="Compact"/>
        <w:numPr>
          <w:ilvl w:val="0"/>
          <w:numId w:val="1003"/>
        </w:numPr>
      </w:pPr>
      <w:r>
        <w:t xml:space="preserve">Updates on the 400 MW capacity-delivery schedule, including power availability and construction timing.</w:t>
      </w:r>
    </w:p>
    <w:p>
      <w:pPr>
        <w:pStyle w:val="Compact"/>
        <w:numPr>
          <w:ilvl w:val="0"/>
          <w:numId w:val="1003"/>
        </w:numPr>
      </w:pPr>
      <w:r>
        <w:t xml:space="preserve">Any indication that AI-related demand remains broad across geographies rather than concentrated in one or two markets.</w:t>
      </w:r>
    </w:p>
    <w:p>
      <w:pPr>
        <w:pStyle w:val="FirstParagraph"/>
      </w:pPr>
      <w:r>
        <w:rPr>
          <w:b/>
          <w:bCs/>
        </w:rPr>
        <w:t xml:space="preserve">Read-through:</w:t>
      </w:r>
      <w:r>
        <w:t xml:space="preserve"> </w:t>
      </w:r>
      <w:r>
        <w:t xml:space="preserve">Strong leasing or additional large commitments would likely matter more to investors than a modest revenue or AFFO beat. Conversely, a leasing slowdown could overshadow solid headline results because the market is increasingly valuing IRM as a data-center growth platform rather than solely as a records-storage REIT.</w:t>
      </w:r>
    </w:p>
    <w:p>
      <w:r>
        <w:pict>
          <v:rect style="width:0;height:1.5pt" o:hralign="center" o:hrstd="t" o:hr="t"/>
        </w:pict>
      </w:r>
    </w:p>
    <w:bookmarkEnd w:id="12"/>
    <w:bookmarkEnd w:id="13"/>
    <w:bookmarkStart w:id="15" w:name="X82594a13783be1b457ff74a044cb3f3a10f1236"/>
    <w:p>
      <w:pPr>
        <w:pStyle w:val="Heading2"/>
      </w:pPr>
      <w:r>
        <w:t xml:space="preserve">2. ALM: the second-quarter bar may be particularly demanding</w:t>
      </w:r>
    </w:p>
    <w:p>
      <w:pPr>
        <w:pStyle w:val="FirstParagraph"/>
      </w:pPr>
      <w:r>
        <w:t xml:space="preserve">ALM was the standout Q1 growth driver. Revenue grew</w:t>
      </w:r>
      <w:r>
        <w:t xml:space="preserve"> </w:t>
      </w:r>
      <w:r>
        <w:rPr>
          <w:b/>
          <w:bCs/>
        </w:rPr>
        <w:t xml:space="preserve">92% year over year to $232 million</w:t>
      </w:r>
      <w:r>
        <w:t xml:space="preserve">, including</w:t>
      </w:r>
      <w:r>
        <w:t xml:space="preserve"> </w:t>
      </w:r>
      <w:r>
        <w:rPr>
          <w:b/>
          <w:bCs/>
        </w:rPr>
        <w:t xml:space="preserve">77% organic growth</w:t>
      </w:r>
      <w:r>
        <w:t xml:space="preserve">. Management attributed the result to strong enterprise demand, data-center decommissioning activity, acquisitions, and favorable pricing in memory-related markets.</w:t>
      </w:r>
    </w:p>
    <w:p>
      <w:pPr>
        <w:pStyle w:val="BodyText"/>
      </w:pPr>
      <w:r>
        <w:t xml:space="preserve">Importantly, the company raised its full-year ALM revenue expectation by</w:t>
      </w:r>
      <w:r>
        <w:t xml:space="preserve"> </w:t>
      </w:r>
      <w:r>
        <w:rPr>
          <w:b/>
          <w:bCs/>
        </w:rPr>
        <w:t xml:space="preserve">$100 million to $950 million</w:t>
      </w:r>
      <w:r>
        <w:t xml:space="preserve">. Of the $100 million increase, $40 million was realized in Q1, while management said the majority of the remaining $60 million was embedded in the Q2 outlook.</w:t>
      </w:r>
    </w:p>
    <w:p>
      <w:pPr>
        <w:pStyle w:val="BodyText"/>
      </w:pPr>
      <w:r>
        <w:t xml:space="preserve">That makes ALM the most important near-term earnings variable.</w:t>
      </w:r>
    </w:p>
    <w:bookmarkStart w:id="14" w:name="what-to-watch-1"/>
    <w:p>
      <w:pPr>
        <w:pStyle w:val="Heading3"/>
      </w:pPr>
      <w:r>
        <w:t xml:space="preserve">What to watch</w:t>
      </w:r>
    </w:p>
    <w:p>
      <w:pPr>
        <w:pStyle w:val="Compact"/>
        <w:numPr>
          <w:ilvl w:val="0"/>
          <w:numId w:val="1004"/>
        </w:numPr>
      </w:pPr>
      <w:r>
        <w:t xml:space="preserve">Whether ALM achieves the Q2 contribution implied in the updated guide.</w:t>
      </w:r>
    </w:p>
    <w:p>
      <w:pPr>
        <w:pStyle w:val="Compact"/>
        <w:numPr>
          <w:ilvl w:val="0"/>
          <w:numId w:val="1004"/>
        </w:numPr>
      </w:pPr>
      <w:r>
        <w:t xml:space="preserve">Enterprise versus hyperscale/data-center decommissioning mix.</w:t>
      </w:r>
    </w:p>
    <w:p>
      <w:pPr>
        <w:pStyle w:val="Compact"/>
        <w:numPr>
          <w:ilvl w:val="0"/>
          <w:numId w:val="1004"/>
        </w:numPr>
      </w:pPr>
      <w:r>
        <w:t xml:space="preserve">Memory pricing commentary: management said conditions had moderated in late March/early April and subsequently stabilized at levels consistent with its original plan.</w:t>
      </w:r>
    </w:p>
    <w:p>
      <w:pPr>
        <w:pStyle w:val="Compact"/>
        <w:numPr>
          <w:ilvl w:val="0"/>
          <w:numId w:val="1004"/>
        </w:numPr>
      </w:pPr>
      <w:r>
        <w:t xml:space="preserve">Evidence that volume growth and cross-selling—not only favorable component pricing—are driving the business.</w:t>
      </w:r>
    </w:p>
    <w:p>
      <w:pPr>
        <w:pStyle w:val="Compact"/>
        <w:numPr>
          <w:ilvl w:val="0"/>
          <w:numId w:val="1004"/>
        </w:numPr>
      </w:pPr>
      <w:r>
        <w:t xml:space="preserve">Updates on bolt-on M&amp;A and the performance of Premier Surplus and ACT Logistics.</w:t>
      </w:r>
    </w:p>
    <w:p>
      <w:pPr>
        <w:pStyle w:val="FirstParagraph"/>
      </w:pPr>
      <w:r>
        <w:rPr>
          <w:b/>
          <w:bCs/>
        </w:rPr>
        <w:t xml:space="preserve">Read-through:</w:t>
      </w:r>
      <w:r>
        <w:t xml:space="preserve"> </w:t>
      </w:r>
      <w:r>
        <w:t xml:space="preserve">An ALM beat that is driven by enterprise share gains, global account expansion, and data-center decommissioning would be higher quality than one primarily tied to elevated resale values. The bear case is that unusually favorable component prices or project timing created an unsustainably high Q1 base.</w:t>
      </w:r>
    </w:p>
    <w:p>
      <w:r>
        <w:pict>
          <v:rect style="width:0;height:1.5pt" o:hralign="center" o:hrstd="t" o:hr="t"/>
        </w:pict>
      </w:r>
    </w:p>
    <w:bookmarkEnd w:id="14"/>
    <w:bookmarkEnd w:id="15"/>
    <w:bookmarkStart w:id="17" w:name="X2409c2fb50d176c180b3c1274324aec1ecb3f3a"/>
    <w:p>
      <w:pPr>
        <w:pStyle w:val="Heading2"/>
      </w:pPr>
      <w:r>
        <w:t xml:space="preserve">3. Global RIM: durable core growth must offset a tougher comparison</w:t>
      </w:r>
    </w:p>
    <w:p>
      <w:pPr>
        <w:pStyle w:val="FirstParagraph"/>
      </w:pPr>
      <w:r>
        <w:t xml:space="preserve">Global Records and Information Management remains the company’s cash-generative foundation. Q1 Global RIM revenue reached</w:t>
      </w:r>
      <w:r>
        <w:t xml:space="preserve"> </w:t>
      </w:r>
      <w:r>
        <w:rPr>
          <w:b/>
          <w:bCs/>
        </w:rPr>
        <w:t xml:space="preserve">$1.4 billion</w:t>
      </w:r>
      <w:r>
        <w:t xml:space="preserve">, up</w:t>
      </w:r>
      <w:r>
        <w:t xml:space="preserve"> </w:t>
      </w:r>
      <w:r>
        <w:rPr>
          <w:b/>
          <w:bCs/>
        </w:rPr>
        <w:t xml:space="preserve">12% reported</w:t>
      </w:r>
      <w:r>
        <w:t xml:space="preserve"> </w:t>
      </w:r>
      <w:r>
        <w:t xml:space="preserve">and</w:t>
      </w:r>
      <w:r>
        <w:t xml:space="preserve"> </w:t>
      </w:r>
      <w:r>
        <w:rPr>
          <w:b/>
          <w:bCs/>
        </w:rPr>
        <w:t xml:space="preserve">8% organically</w:t>
      </w:r>
      <w:r>
        <w:t xml:space="preserve">. Storage revenue rose</w:t>
      </w:r>
      <w:r>
        <w:t xml:space="preserve"> </w:t>
      </w:r>
      <w:r>
        <w:rPr>
          <w:b/>
          <w:bCs/>
        </w:rPr>
        <w:t xml:space="preserve">6% organically</w:t>
      </w:r>
      <w:r>
        <w:t xml:space="preserve">, while service revenue grew more than</w:t>
      </w:r>
      <w:r>
        <w:t xml:space="preserve"> </w:t>
      </w:r>
      <w:r>
        <w:rPr>
          <w:b/>
          <w:bCs/>
        </w:rPr>
        <w:t xml:space="preserve">12% organically</w:t>
      </w:r>
      <w:r>
        <w:t xml:space="preserve">.</w:t>
      </w:r>
    </w:p>
    <w:p>
      <w:pPr>
        <w:pStyle w:val="BodyText"/>
      </w:pPr>
      <w:r>
        <w:t xml:space="preserve">The business is benefiting from revenue management, stable or improving volume trends, digital-services demand, and government opportunities. But management also cautioned that last year’s revenue-management cadence makes the Q2 comparison harder.</w:t>
      </w:r>
    </w:p>
    <w:bookmarkStart w:id="16" w:name="what-to-watch-2"/>
    <w:p>
      <w:pPr>
        <w:pStyle w:val="Heading3"/>
      </w:pPr>
      <w:r>
        <w:t xml:space="preserve">What to watch</w:t>
      </w:r>
    </w:p>
    <w:p>
      <w:pPr>
        <w:pStyle w:val="Compact"/>
        <w:numPr>
          <w:ilvl w:val="0"/>
          <w:numId w:val="1005"/>
        </w:numPr>
      </w:pPr>
      <w:r>
        <w:t xml:space="preserve">Storage rental organic growth and volume trends.</w:t>
      </w:r>
    </w:p>
    <w:p>
      <w:pPr>
        <w:pStyle w:val="Compact"/>
        <w:numPr>
          <w:ilvl w:val="0"/>
          <w:numId w:val="1005"/>
        </w:numPr>
      </w:pPr>
      <w:r>
        <w:t xml:space="preserve">Revenue-management realization and customer retention.</w:t>
      </w:r>
    </w:p>
    <w:p>
      <w:pPr>
        <w:pStyle w:val="Compact"/>
        <w:numPr>
          <w:ilvl w:val="0"/>
          <w:numId w:val="1005"/>
        </w:numPr>
      </w:pPr>
      <w:r>
        <w:t xml:space="preserve">Digital-solutions growth and bookings.</w:t>
      </w:r>
    </w:p>
    <w:p>
      <w:pPr>
        <w:pStyle w:val="Compact"/>
        <w:numPr>
          <w:ilvl w:val="0"/>
          <w:numId w:val="1005"/>
        </w:numPr>
      </w:pPr>
      <w:r>
        <w:t xml:space="preserve">Services margins, given their mix implications.</w:t>
      </w:r>
    </w:p>
    <w:p>
      <w:pPr>
        <w:pStyle w:val="Compact"/>
        <w:numPr>
          <w:ilvl w:val="0"/>
          <w:numId w:val="1005"/>
        </w:numPr>
      </w:pPr>
      <w:r>
        <w:t xml:space="preserve">Government-contract execution, particularly the U.S. Treasury program.</w:t>
      </w:r>
    </w:p>
    <w:p>
      <w:pPr>
        <w:pStyle w:val="FirstParagraph"/>
      </w:pPr>
      <w:r>
        <w:t xml:space="preserve">The Treasury contract generated roughly</w:t>
      </w:r>
      <w:r>
        <w:t xml:space="preserve"> </w:t>
      </w:r>
      <m:oMath>
        <m:r>
          <m:t>9</m:t>
        </m:r>
        <m:r>
          <m:t>m</m:t>
        </m:r>
        <m:r>
          <m:t>i</m:t>
        </m:r>
        <m:r>
          <m:t>l</m:t>
        </m:r>
        <m:r>
          <m:t>l</m:t>
        </m:r>
        <m:r>
          <m:t>i</m:t>
        </m:r>
        <m:r>
          <m:t>o</m:t>
        </m:r>
        <m:r>
          <m:t>n</m:t>
        </m:r>
        <m:r>
          <m:t>o</m:t>
        </m:r>
        <m:r>
          <m:t>f</m:t>
        </m:r>
        <m:r>
          <m:t>r</m:t>
        </m:r>
        <m:r>
          <m:t>e</m:t>
        </m:r>
        <m:r>
          <m:t>v</m:t>
        </m:r>
        <m:r>
          <m:t>e</m:t>
        </m:r>
        <m:r>
          <m:t>n</m:t>
        </m:r>
        <m:r>
          <m:t>u</m:t>
        </m:r>
        <m:r>
          <m:t>e</m:t>
        </m:r>
        <m:r>
          <m:t>i</m:t>
        </m:r>
        <m:r>
          <m:t>n</m:t>
        </m:r>
        <m:r>
          <m:t>Q</m:t>
        </m:r>
        <m:r>
          <m:t>1</m:t>
        </m:r>
        <m:r>
          <m:rPr>
            <m:sty m:val="p"/>
          </m:rPr>
          <m:t>*</m:t>
        </m:r>
        <m:r>
          <m:rPr>
            <m:sty m:val="p"/>
          </m:rPr>
          <m:t>*</m:t>
        </m:r>
        <m:r>
          <m:rPr>
            <m:sty m:val="p"/>
          </m:rPr>
          <m:t>;</m:t>
        </m:r>
        <m:r>
          <m:t>m</m:t>
        </m:r>
        <m:r>
          <m:t>a</m:t>
        </m:r>
        <m:r>
          <m:t>n</m:t>
        </m:r>
        <m:r>
          <m:t>a</m:t>
        </m:r>
        <m:r>
          <m:t>g</m:t>
        </m:r>
        <m:r>
          <m:t>e</m:t>
        </m:r>
        <m:r>
          <m:t>m</m:t>
        </m:r>
        <m:r>
          <m:t>e</m:t>
        </m:r>
        <m:r>
          <m:t>n</m:t>
        </m:r>
        <m:r>
          <m:t>t</m:t>
        </m:r>
        <m:r>
          <m:t>c</m:t>
        </m:r>
        <m:r>
          <m:t>o</m:t>
        </m:r>
        <m:r>
          <m:t>n</m:t>
        </m:r>
        <m:r>
          <m:t>t</m:t>
        </m:r>
        <m:r>
          <m:t>i</m:t>
        </m:r>
        <m:r>
          <m:t>n</m:t>
        </m:r>
        <m:r>
          <m:t>u</m:t>
        </m:r>
        <m:r>
          <m:t>e</m:t>
        </m:r>
        <m:r>
          <m:t>s</m:t>
        </m:r>
        <m:r>
          <m:t>t</m:t>
        </m:r>
        <m:r>
          <m:t>o</m:t>
        </m:r>
        <m:r>
          <m:t>e</m:t>
        </m:r>
        <m:r>
          <m:t>x</m:t>
        </m:r>
        <m:r>
          <m:t>p</m:t>
        </m:r>
        <m:r>
          <m:t>e</m:t>
        </m:r>
        <m:r>
          <m:t>c</m:t>
        </m:r>
        <m:r>
          <m:t>t</m:t>
        </m:r>
        <m:r>
          <m:t>a</m:t>
        </m:r>
        <m:r>
          <m:t>b</m:t>
        </m:r>
        <m:r>
          <m:t>o</m:t>
        </m:r>
        <m:r>
          <m:t>u</m:t>
        </m:r>
        <m:r>
          <m:t>t</m:t>
        </m:r>
        <m:r>
          <m:rPr>
            <m:sty m:val="p"/>
          </m:rPr>
          <m:t>*</m:t>
        </m:r>
        <m:r>
          <m:rPr>
            <m:sty m:val="p"/>
          </m:rPr>
          <m:t>*</m:t>
        </m:r>
      </m:oMath>
      <w:r>
        <w:rPr>
          <w:b/>
          <w:bCs/>
        </w:rPr>
        <w:t xml:space="preserve">45 million in 2026</w:t>
      </w:r>
      <w:r>
        <w:t xml:space="preserve"> </w:t>
      </w:r>
      <w:r>
        <w:t xml:space="preserve">and more than</w:t>
      </w:r>
      <w:r>
        <w:t xml:space="preserve"> </w:t>
      </w:r>
      <w:r>
        <w:rPr>
          <w:b/>
          <w:bCs/>
        </w:rPr>
        <w:t xml:space="preserve">$100 million annually from 2027 onward</w:t>
      </w:r>
      <w:r>
        <w:t xml:space="preserve">. More broadly, the company highlighted unusually strong public-sector bookings and believes its FedRAMP High authorization broadens its ability to pursue mission-critical federal digital workloads.</w:t>
      </w:r>
    </w:p>
    <w:p>
      <w:r>
        <w:pict>
          <v:rect style="width:0;height:1.5pt" o:hralign="center" o:hrstd="t" o:hr="t"/>
        </w:pict>
      </w:r>
    </w:p>
    <w:bookmarkEnd w:id="16"/>
    <w:bookmarkEnd w:id="17"/>
    <w:bookmarkStart w:id="18" w:name="Xffb3f0f1eaecbb05899d7121a1dd4c6f5230479"/>
    <w:p>
      <w:pPr>
        <w:pStyle w:val="Heading2"/>
      </w:pPr>
      <w:r>
        <w:t xml:space="preserve">4. Margin and AFFO: services mix is the key offset</w:t>
      </w:r>
    </w:p>
    <w:p>
      <w:pPr>
        <w:pStyle w:val="FirstParagraph"/>
      </w:pPr>
      <w:r>
        <w:t xml:space="preserve">Q1 adjusted EBITDA rose</w:t>
      </w:r>
      <w:r>
        <w:t xml:space="preserve"> </w:t>
      </w:r>
      <w:r>
        <w:rPr>
          <w:b/>
          <w:bCs/>
        </w:rPr>
        <w:t xml:space="preserve">22% to $708 million</w:t>
      </w:r>
      <w:r>
        <w:t xml:space="preserve">, and margin improved</w:t>
      </w:r>
      <w:r>
        <w:t xml:space="preserve"> </w:t>
      </w:r>
      <w:r>
        <w:rPr>
          <w:b/>
          <w:bCs/>
        </w:rPr>
        <w:t xml:space="preserve">20 bps to 36.6%</w:t>
      </w:r>
      <w:r>
        <w:t xml:space="preserve"> </w:t>
      </w:r>
      <w:r>
        <w:t xml:space="preserve">despite rapid growth in service revenue, which normally creates a mix headwind. That performance demonstrated meaningful operating leverage.</w:t>
      </w:r>
    </w:p>
    <w:p>
      <w:pPr>
        <w:pStyle w:val="BodyText"/>
      </w:pPr>
      <w:r>
        <w:t xml:space="preserve">For Q2, investors should focus on whether IRM can continue to expand EBITDA dollars while defending margins amid:</w:t>
      </w:r>
    </w:p>
    <w:p>
      <w:pPr>
        <w:pStyle w:val="Compact"/>
        <w:numPr>
          <w:ilvl w:val="0"/>
          <w:numId w:val="1006"/>
        </w:numPr>
      </w:pPr>
      <w:r>
        <w:t xml:space="preserve">Rapid ALM growth;</w:t>
      </w:r>
    </w:p>
    <w:p>
      <w:pPr>
        <w:pStyle w:val="Compact"/>
        <w:numPr>
          <w:ilvl w:val="0"/>
          <w:numId w:val="1006"/>
        </w:numPr>
      </w:pPr>
      <w:r>
        <w:t xml:space="preserve">Higher data-center utility pass-through revenue;</w:t>
      </w:r>
    </w:p>
    <w:p>
      <w:pPr>
        <w:pStyle w:val="Compact"/>
        <w:numPr>
          <w:ilvl w:val="0"/>
          <w:numId w:val="1006"/>
        </w:numPr>
      </w:pPr>
      <w:r>
        <w:t xml:space="preserve">Digital and government-service ramp costs;</w:t>
      </w:r>
    </w:p>
    <w:p>
      <w:pPr>
        <w:pStyle w:val="Compact"/>
        <w:numPr>
          <w:ilvl w:val="0"/>
          <w:numId w:val="1006"/>
        </w:numPr>
      </w:pPr>
      <w:r>
        <w:t xml:space="preserve">Continuing investment in personnel, data-center delivery, and commercial capacity.</w:t>
      </w:r>
    </w:p>
    <w:p>
      <w:pPr>
        <w:pStyle w:val="FirstParagraph"/>
      </w:pPr>
      <w:r>
        <w:t xml:space="preserve">AFFO remains the most relevant REIT cash-flow measure. Q1 AFFO was</w:t>
      </w:r>
      <w:r>
        <w:t xml:space="preserve"> </w:t>
      </w:r>
      <w:r>
        <w:rPr>
          <w:b/>
          <w:bCs/>
        </w:rPr>
        <w:t xml:space="preserve">$426 million, or</w:t>
      </w:r>
      <w:r>
        <w:rPr>
          <w:b/>
          <w:bCs/>
        </w:rPr>
        <w:t xml:space="preserve"> </w:t>
      </w:r>
      <m:oMath>
        <m:r>
          <m:t>1.43</m:t>
        </m:r>
        <m:r>
          <m:t>p</m:t>
        </m:r>
        <m:r>
          <m:t>e</m:t>
        </m:r>
        <m:r>
          <m:t>r</m:t>
        </m:r>
        <m:r>
          <m:t>s</m:t>
        </m:r>
        <m:r>
          <m:t>h</m:t>
        </m:r>
        <m:r>
          <m:t>a</m:t>
        </m:r>
        <m:r>
          <m:t>r</m:t>
        </m:r>
        <m:r>
          <m:t>e</m:t>
        </m:r>
        <m:r>
          <m:rPr>
            <m:sty m:val="p"/>
          </m:rPr>
          <m:t>*</m:t>
        </m:r>
        <m:r>
          <m:rPr>
            <m:sty m:val="p"/>
          </m:rPr>
          <m:t>*</m:t>
        </m:r>
        <m:r>
          <m:rPr>
            <m:sty m:val="p"/>
          </m:rPr>
          <m:t>,</m:t>
        </m:r>
        <m:r>
          <m:t>u</m:t>
        </m:r>
        <m:r>
          <m:t>p</m:t>
        </m:r>
        <m:r>
          <m:t>22</m:t>
        </m:r>
      </m:oMath>
      <w:r>
        <w:rPr>
          <w:b/>
          <w:bCs/>
        </w:rPr>
        <w:t xml:space="preserve">1.40 per share</w:t>
      </w:r>
      <w:r>
        <w:t xml:space="preserve">, so cash-flow conversion versus EBITDA is a central watch item.</w:t>
      </w:r>
    </w:p>
    <w:p>
      <w:r>
        <w:pict>
          <v:rect style="width:0;height:1.5pt" o:hralign="center" o:hrstd="t" o:hr="t"/>
        </w:pict>
      </w:r>
    </w:p>
    <w:bookmarkEnd w:id="18"/>
    <w:bookmarkStart w:id="20" w:name="Xd7d3a21939d6a234954c34b8ae90ad9d14e95b6"/>
    <w:p>
      <w:pPr>
        <w:pStyle w:val="Heading2"/>
      </w:pPr>
      <w:r>
        <w:t xml:space="preserve">Capital allocation, balance sheet, and dividend</w:t>
      </w:r>
    </w:p>
    <w:p>
      <w:pPr>
        <w:pStyle w:val="FirstParagraph"/>
      </w:pPr>
      <w:r>
        <w:t xml:space="preserve">Iron Mountain is pursuing an investment-heavy strategy, principally around data centers. In Q1 it invested:</w:t>
      </w:r>
    </w:p>
    <w:p>
      <w:pPr>
        <w:pStyle w:val="Compact"/>
        <w:numPr>
          <w:ilvl w:val="0"/>
          <w:numId w:val="1007"/>
        </w:numPr>
      </w:pPr>
      <w:r>
        <w:rPr>
          <w:b/>
          <w:bCs/>
        </w:rPr>
        <w:t xml:space="preserve">$492 million</w:t>
      </w:r>
      <w:r>
        <w:t xml:space="preserve"> </w:t>
      </w:r>
      <w:r>
        <w:t xml:space="preserve">in growth capital expenditures; and</w:t>
      </w:r>
    </w:p>
    <w:p>
      <w:pPr>
        <w:pStyle w:val="Compact"/>
        <w:numPr>
          <w:ilvl w:val="0"/>
          <w:numId w:val="1007"/>
        </w:numPr>
      </w:pPr>
      <w:r>
        <w:rPr>
          <w:b/>
          <w:bCs/>
        </w:rPr>
        <w:t xml:space="preserve">$35 million</w:t>
      </w:r>
      <w:r>
        <w:t xml:space="preserve"> </w:t>
      </w:r>
      <w:r>
        <w:t xml:space="preserve">in recurring capital expenditures.</w:t>
      </w:r>
    </w:p>
    <w:p>
      <w:pPr>
        <w:pStyle w:val="FirstParagraph"/>
      </w:pPr>
      <w:r>
        <w:t xml:space="preserve">Management expected full-year capex to be modestly lower than 2025, while also emphasizing that its data-center development is largely pre-leased rather than speculative.</w:t>
      </w:r>
    </w:p>
    <w:p>
      <w:pPr>
        <w:pStyle w:val="BodyText"/>
      </w:pPr>
      <w:r>
        <w:t xml:space="preserve">Leverage improved to</w:t>
      </w:r>
      <w:r>
        <w:t xml:space="preserve"> </w:t>
      </w:r>
      <w:r>
        <w:rPr>
          <w:b/>
          <w:bCs/>
        </w:rPr>
        <w:t xml:space="preserve">4.8x net lease-adjusted leverage</w:t>
      </w:r>
      <w:r>
        <w:t xml:space="preserve"> </w:t>
      </w:r>
      <w:r>
        <w:t xml:space="preserve">at the end of Q1, which management described as its best result on that metric since before its 2014 REIT conversion. Still, funding and interest expense deserve attention. In late June, Iron Mountain issued</w:t>
      </w:r>
      <w:r>
        <w:t xml:space="preserve"> </w:t>
      </w:r>
      <w:r>
        <w:rPr>
          <w:b/>
          <w:bCs/>
        </w:rPr>
        <w:t xml:space="preserve">$1.5 billion of 6.25% senior notes due 2035</w:t>
      </w:r>
      <w:r>
        <w:t xml:space="preserve">, with net proceeds intended principally to repay revolver borrowings and for general corporate purposes. The transaction improves liquidity and extends maturities, but also underscores the cost of financing an aggressive development pipeline.</w:t>
      </w:r>
    </w:p>
    <w:p>
      <w:pPr>
        <w:pStyle w:val="BodyText"/>
      </w:pPr>
      <w:r>
        <w:t xml:space="preserve">The quarterly dividend is</w:t>
      </w:r>
      <w:r>
        <w:t xml:space="preserve"> </w:t>
      </w:r>
      <w:r>
        <w:rPr>
          <w:b/>
          <w:bCs/>
        </w:rPr>
        <w:t xml:space="preserve">$0.864 per share</w:t>
      </w:r>
      <w:r>
        <w:t xml:space="preserve">. At the midpoint of FY26 AFFO-per-share guidance, that annualized dividend represents an approximate</w:t>
      </w:r>
      <w:r>
        <w:t xml:space="preserve"> </w:t>
      </w:r>
      <w:r>
        <w:rPr>
          <w:b/>
          <w:bCs/>
        </w:rPr>
        <w:t xml:space="preserve">59% payout ratio</w:t>
      </w:r>
      <w:r>
        <w:t xml:space="preserve">, consistent with management’s low-60% target range.</w:t>
      </w:r>
    </w:p>
    <w:bookmarkStart w:id="19" w:name="what-to-watch-3"/>
    <w:p>
      <w:pPr>
        <w:pStyle w:val="Heading3"/>
      </w:pPr>
      <w:r>
        <w:t xml:space="preserve">What to watch</w:t>
      </w:r>
    </w:p>
    <w:p>
      <w:pPr>
        <w:pStyle w:val="Compact"/>
        <w:numPr>
          <w:ilvl w:val="0"/>
          <w:numId w:val="1008"/>
        </w:numPr>
      </w:pPr>
      <w:r>
        <w:t xml:space="preserve">Any revision to growth-capex expectations.</w:t>
      </w:r>
    </w:p>
    <w:p>
      <w:pPr>
        <w:pStyle w:val="Compact"/>
        <w:numPr>
          <w:ilvl w:val="0"/>
          <w:numId w:val="1008"/>
        </w:numPr>
      </w:pPr>
      <w:r>
        <w:t xml:space="preserve">Commentary on debt issuance, revolver usage, and interest expense.</w:t>
      </w:r>
    </w:p>
    <w:p>
      <w:pPr>
        <w:pStyle w:val="Compact"/>
        <w:numPr>
          <w:ilvl w:val="0"/>
          <w:numId w:val="1008"/>
        </w:numPr>
      </w:pPr>
      <w:r>
        <w:t xml:space="preserve">Whether leverage continues to fall despite development spending.</w:t>
      </w:r>
    </w:p>
    <w:p>
      <w:pPr>
        <w:pStyle w:val="Compact"/>
        <w:numPr>
          <w:ilvl w:val="0"/>
          <w:numId w:val="1008"/>
        </w:numPr>
      </w:pPr>
      <w:r>
        <w:t xml:space="preserve">The pace at which data-center capex translates into lease commencements and AFFO.</w:t>
      </w:r>
    </w:p>
    <w:p>
      <w:r>
        <w:pict>
          <v:rect style="width:0;height:1.5pt" o:hralign="center" o:hrstd="t" o:hr="t"/>
        </w:pict>
      </w:r>
    </w:p>
    <w:bookmarkEnd w:id="19"/>
    <w:bookmarkEnd w:id="20"/>
    <w:bookmarkStart w:id="21" w:name="bull-case-into-the-print"/>
    <w:p>
      <w:pPr>
        <w:pStyle w:val="Heading2"/>
      </w:pPr>
      <w:r>
        <w:t xml:space="preserve">Bull case into the print</w:t>
      </w:r>
    </w:p>
    <w:p>
      <w:pPr>
        <w:pStyle w:val="FirstParagraph"/>
      </w:pPr>
      <w:r>
        <w:t xml:space="preserve">A favorable report would likely include:</w:t>
      </w:r>
    </w:p>
    <w:p>
      <w:pPr>
        <w:pStyle w:val="Compact"/>
        <w:numPr>
          <w:ilvl w:val="0"/>
          <w:numId w:val="1009"/>
        </w:numPr>
      </w:pPr>
      <w:r>
        <w:t xml:space="preserve">Revenue, EBITDA, and AFFO above management’s Q2 targets;</w:t>
      </w:r>
    </w:p>
    <w:p>
      <w:pPr>
        <w:pStyle w:val="Compact"/>
        <w:numPr>
          <w:ilvl w:val="0"/>
          <w:numId w:val="1009"/>
        </w:numPr>
      </w:pPr>
      <w:r>
        <w:t xml:space="preserve">Further acceleration in data-center leasing, with credible evidence of commitments above the prior 100-MW full-year target;</w:t>
      </w:r>
    </w:p>
    <w:p>
      <w:pPr>
        <w:pStyle w:val="Compact"/>
        <w:numPr>
          <w:ilvl w:val="0"/>
          <w:numId w:val="1009"/>
        </w:numPr>
      </w:pPr>
      <w:r>
        <w:t xml:space="preserve">Strong ALM execution that confirms growth is broad-based rather than merely pricing-driven;</w:t>
      </w:r>
    </w:p>
    <w:p>
      <w:pPr>
        <w:pStyle w:val="Compact"/>
        <w:numPr>
          <w:ilvl w:val="0"/>
          <w:numId w:val="1009"/>
        </w:numPr>
      </w:pPr>
      <w:r>
        <w:t xml:space="preserve">Solid Global RIM organic growth despite tougher revenue-management comparisons;</w:t>
      </w:r>
    </w:p>
    <w:p>
      <w:pPr>
        <w:pStyle w:val="Compact"/>
        <w:numPr>
          <w:ilvl w:val="0"/>
          <w:numId w:val="1009"/>
        </w:numPr>
      </w:pPr>
      <w:r>
        <w:t xml:space="preserve">A second FY26 guide increase, or at minimum a strong statement that the current guide is conservative;</w:t>
      </w:r>
    </w:p>
    <w:p>
      <w:pPr>
        <w:pStyle w:val="Compact"/>
        <w:numPr>
          <w:ilvl w:val="0"/>
          <w:numId w:val="1009"/>
        </w:numPr>
      </w:pPr>
      <w:r>
        <w:t xml:space="preserve">Continued leverage improvement and no meaningful increase in expected capex.</w:t>
      </w:r>
    </w:p>
    <w:bookmarkEnd w:id="21"/>
    <w:bookmarkStart w:id="22" w:name="bear-case-into-the-print"/>
    <w:p>
      <w:pPr>
        <w:pStyle w:val="Heading2"/>
      </w:pPr>
      <w:r>
        <w:t xml:space="preserve">Bear case into the print</w:t>
      </w:r>
    </w:p>
    <w:p>
      <w:pPr>
        <w:pStyle w:val="FirstParagraph"/>
      </w:pPr>
      <w:r>
        <w:t xml:space="preserve">The downside scenario is less about a headline miss and more about the quality of the outlook:</w:t>
      </w:r>
    </w:p>
    <w:p>
      <w:pPr>
        <w:pStyle w:val="Compact"/>
        <w:numPr>
          <w:ilvl w:val="0"/>
          <w:numId w:val="1010"/>
        </w:numPr>
      </w:pPr>
      <w:r>
        <w:t xml:space="preserve">Data-center leasing, power availability, or construction delivery falls short of expectations;</w:t>
      </w:r>
    </w:p>
    <w:p>
      <w:pPr>
        <w:pStyle w:val="Compact"/>
        <w:numPr>
          <w:ilvl w:val="0"/>
          <w:numId w:val="1010"/>
        </w:numPr>
      </w:pPr>
      <w:r>
        <w:t xml:space="preserve">ALM growth moderates materially as memory prices normalize or projects shift;</w:t>
      </w:r>
    </w:p>
    <w:p>
      <w:pPr>
        <w:pStyle w:val="Compact"/>
        <w:numPr>
          <w:ilvl w:val="0"/>
          <w:numId w:val="1010"/>
        </w:numPr>
      </w:pPr>
      <w:r>
        <w:t xml:space="preserve">Service mix pressures margins and AFFO conversion;</w:t>
      </w:r>
    </w:p>
    <w:p>
      <w:pPr>
        <w:pStyle w:val="Compact"/>
        <w:numPr>
          <w:ilvl w:val="0"/>
          <w:numId w:val="1010"/>
        </w:numPr>
      </w:pPr>
      <w:r>
        <w:t xml:space="preserve">Full-year guidance is maintained despite a Q2 beat because the company sees softer second-half conditions;</w:t>
      </w:r>
    </w:p>
    <w:p>
      <w:pPr>
        <w:pStyle w:val="Compact"/>
        <w:numPr>
          <w:ilvl w:val="0"/>
          <w:numId w:val="1010"/>
        </w:numPr>
      </w:pPr>
      <w:r>
        <w:t xml:space="preserve">Higher funding costs, capex requirements, or leverage temper the appeal of the growth strategy;</w:t>
      </w:r>
    </w:p>
    <w:p>
      <w:pPr>
        <w:pStyle w:val="Compact"/>
        <w:numPr>
          <w:ilvl w:val="0"/>
          <w:numId w:val="1010"/>
        </w:numPr>
      </w:pPr>
      <w:r>
        <w:t xml:space="preserve">Core storage organic growth softens, making IRM more dependent on its newer and more cyclical businesses.</w:t>
      </w:r>
    </w:p>
    <w:p>
      <w:r>
        <w:pict>
          <v:rect style="width:0;height:1.5pt" o:hralign="center" o:hrstd="t" o:hr="t"/>
        </w:pict>
      </w:r>
    </w:p>
    <w:bookmarkEnd w:id="22"/>
    <w:bookmarkStart w:id="23" w:name="bottom-line"/>
    <w:p>
      <w:pPr>
        <w:pStyle w:val="Heading2"/>
      </w:pPr>
      <w:r>
        <w:t xml:space="preserve">Bottom line</w:t>
      </w:r>
    </w:p>
    <w:p>
      <w:pPr>
        <w:pStyle w:val="FirstParagraph"/>
      </w:pPr>
      <w:r>
        <w:rPr>
          <w:b/>
          <w:bCs/>
        </w:rPr>
        <w:t xml:space="preserve">IRM enters 2Q earnings with substantial operational momentum, but also a demanding valuation and elevated expectations.</w:t>
      </w:r>
      <w:r>
        <w:t xml:space="preserve"> </w:t>
      </w:r>
      <w:r>
        <w:t xml:space="preserve">The report should be judged primarily on forward indicators: data-center leasing and delivery, the durability of ALM growth, cash-flow conversion, and the likelihood of another full-year guide increase.</w:t>
      </w:r>
    </w:p>
    <w:p>
      <w:pPr>
        <w:pStyle w:val="BodyText"/>
      </w:pPr>
      <w:r>
        <w:t xml:space="preserve">The cleanest bullish outcome is a broad beat with strong data-center leasing, ALM execution that validates the raised outlook, and upward guidance. The key risk is that Q1 proved unusually strong due to timing, project activity, and component pricing—leaving Q2 results merely in line while the market expects another step-up.</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2026-08-05T00:13:46Z</dcterms:created>
  <dcterms:modified xsi:type="dcterms:W3CDTF">2026-08-05T00:13:46Z</dcterms:modified>
</cp:coreProperties>
</file>

<file path=docProps/custom.xml><?xml version="1.0" encoding="utf-8"?>
<Properties xmlns="http://schemas.openxmlformats.org/officeDocument/2006/custom-properties" xmlns:vt="http://schemas.openxmlformats.org/officeDocument/2006/docPropsVTypes"/>
</file>