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Iron Mountain Incorporated (IRM)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Iron Mountain Incorporated</w:t>
            </w:r>
          </w:p>
        </w:tc>
      </w:tr>
      <w:tr>
        <w:tc>
          <w:tcPr>
            <w:tcW w:type="dxa" w:w="4320"/>
          </w:tcPr>
          <w:p>
            <w:r>
              <w:rPr>
                <w:rFonts w:ascii="Calibri" w:hAnsi="Calibri"/>
                <w:b/>
                <w:sz w:val="22"/>
              </w:rPr>
              <w:t>Ticker</w:t>
            </w:r>
          </w:p>
        </w:tc>
        <w:tc>
          <w:tcPr>
            <w:tcW w:type="dxa" w:w="4320"/>
          </w:tcPr>
          <w:p>
            <w:r>
              <w:rPr>
                <w:rFonts w:ascii="Calibri" w:hAnsi="Calibri"/>
                <w:sz w:val="22"/>
              </w:rPr>
              <w:t>NYSE: IRM</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Before Market Open; Conference Call 8:30 AM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 Valuation Metric</w:t>
            </w:r>
          </w:p>
        </w:tc>
        <w:tc>
          <w:tcPr>
            <w:tcW w:type="dxa" w:w="4320"/>
          </w:tcPr>
          <w:p>
            <w:r>
              <w:rPr>
                <w:rFonts w:ascii="Calibri" w:hAnsi="Calibri"/>
                <w:sz w:val="22"/>
              </w:rPr>
              <w:t>REIT – Specialty / EV/EBITDA (NTM: 18.1x)</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b/>
          <w:color w:val="525866"/>
          <w:sz w:val="22"/>
        </w:rPr>
        <w:t>The setup is constructive — consensus sits essentially at guidance, the bar is achievable, and the biggest swing factor is whether ALM and data center leasing momentum can sustain the extraordinary Q1 pace into Q2.</w:t>
      </w:r>
    </w:p>
    <w:p>
      <w:r>
        <w:rPr>
          <w:rFonts w:ascii="Calibri" w:hAnsi="Calibri"/>
          <w:color w:val="525866"/>
          <w:sz w:val="22"/>
        </w:rPr>
        <w:t xml:space="preserve">Iron Mountain heads into Q2 2026 earnings with consensus revenue of ~$1.969B and AFFO/share of ~$1.40 sitting almost exactly at the company's own Q2 guidance (~$1.965B revenue, ~$1.40 AFFO/share), meaning the bar is neither stretched nor easy — it is management's own number. The company delivered a massive Q1 beat ($80M revenue upside, $23M EBITDA upside, $0.04 AFFO/share upside) and raised full-year guidance by $175M at the revenue midpoint, so the Street has already re-rated expectations higher; the question is whether the growth portfolio — particularly ALM, which guided to ~$950M for the full year after a 77% organic growth quarter — can sustain that trajectory. </w:t>
      </w:r>
      <w:r>
        <w:rPr>
          <w:rFonts w:ascii="Calibri" w:hAnsi="Calibri"/>
          <w:color w:val="525866"/>
          <w:sz w:val="22"/>
        </w:rPr>
        <w:t xml:space="preserve">Data center leasing is the key wildcard: management guided to "meaningfully above" 100MW for the full year after signing 32MW through April, and peer commentary from DLR (record $1.9B backlog, 25%+ renewal spreads) and EQIX (23% bookings growth, largest-ever guidance raise) confirms the demand environment remains exceptional, providing a strong read-through tailwind. </w:t>
      </w:r>
      <w:r>
        <w:rPr>
          <w:rFonts w:ascii="Calibri" w:hAnsi="Calibri"/>
          <w:color w:val="525866"/>
          <w:sz w:val="22"/>
        </w:rPr>
        <w:t xml:space="preserve">The stock has given back ~3% since the April 30 earnings pop (from ~$126 to ~$125 as of August 4), underperforming SPY (+7%) but roughly in line with XLRE (+2%), suggesting the market is waiting for confirmation rather than pricing in another beat. </w:t>
      </w:r>
      <w:r>
        <w:rPr>
          <w:rFonts w:ascii="Calibri" w:hAnsi="Calibri"/>
          <w:color w:val="525866"/>
          <w:sz w:val="22"/>
        </w:rPr>
        <w:t>The wildcard is ALM revenue mix: management flagged that hyperscale decommissioning (lower-margin revenue-share model) is trending as a higher percentage of ALM in 2026, and any moderation in memory prices or hyperscaler decommissioning activity could compress both revenue and margins relative to the elevated Q1 run rate.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sits at or just above management's own Q2 guidance on all three key metrics, making this a "prove it again" quarter rather than a high-bar beat-or-miss setup. </w:t>
      </w:r>
      <w:r>
        <w:rPr>
          <w:rFonts w:ascii="Calibri" w:hAnsi="Calibri"/>
          <w:color w:val="525866"/>
          <w:sz w:val="22"/>
        </w:rPr>
        <w:t>AFFO/share ($1.40 consensus vs. ~$1.40 guidance) is the primary REIT valuation KPI; total revenue ($1.969B vs. ~$1.965B guidance) is the bigger swing factor given ALM and data center variability.</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(%Δ)</w:t>
            </w:r>
          </w:p>
        </w:tc>
      </w:tr>
      <w:tr>
        <w:tc>
          <w:tcPr>
            <w:tcW w:type="dxa" w:w="1234"/>
          </w:tcPr>
          <w:p>
            <w:r>
              <w:rPr>
                <w:rFonts w:ascii="Calibri" w:hAnsi="Calibri"/>
                <w:sz w:val="22"/>
              </w:rPr>
              <w:t>Total Revenue ($M)</w:t>
            </w:r>
          </w:p>
        </w:tc>
        <w:tc>
          <w:tcPr>
            <w:tcW w:type="dxa" w:w="1234"/>
          </w:tcPr>
          <w:p>
            <w:r>
              <w:rPr>
                <w:rFonts w:ascii="Calibri" w:hAnsi="Calibri"/>
                <w:sz w:val="22"/>
              </w:rPr>
              <w:t>$1,936.1</w:t>
            </w:r>
          </w:p>
        </w:tc>
        <w:tc>
          <w:tcPr>
            <w:tcW w:type="dxa" w:w="1234"/>
          </w:tcPr>
          <w:p>
            <w:r>
              <w:rPr>
                <w:rFonts w:ascii="Calibri" w:hAnsi="Calibri"/>
                <w:sz w:val="22"/>
              </w:rPr>
              <w:t>$1,711.9</w:t>
            </w:r>
          </w:p>
        </w:tc>
        <w:tc>
          <w:tcPr>
            <w:tcW w:type="dxa" w:w="1234"/>
          </w:tcPr>
          <w:p>
            <w:r>
              <w:rPr>
                <w:rFonts w:ascii="Calibri" w:hAnsi="Calibri"/>
                <w:sz w:val="22"/>
              </w:rPr>
              <w:t>$1,968.9</w:t>
            </w:r>
          </w:p>
        </w:tc>
        <w:tc>
          <w:tcPr>
            <w:tcW w:type="dxa" w:w="1234"/>
          </w:tcPr>
          <w:p>
            <w:r>
              <w:rPr>
                <w:rFonts w:ascii="Calibri" w:hAnsi="Calibri"/>
                <w:sz w:val="22"/>
              </w:rPr>
              <w:t>+15.0%</w:t>
            </w:r>
          </w:p>
        </w:tc>
        <w:tc>
          <w:tcPr>
            <w:tcW w:type="dxa" w:w="1234"/>
          </w:tcPr>
          <w:p>
            <w:r>
              <w:rPr>
                <w:rFonts w:ascii="Calibri" w:hAnsi="Calibri"/>
                <w:sz w:val="22"/>
              </w:rPr>
              <w:t>~$1,965</w:t>
            </w:r>
          </w:p>
        </w:tc>
        <w:tc>
          <w:tcPr>
            <w:tcW w:type="dxa" w:w="1234"/>
          </w:tcPr>
          <w:p>
            <w:r>
              <w:rPr>
                <w:rFonts w:ascii="Calibri" w:hAnsi="Calibri"/>
                <w:sz w:val="22"/>
              </w:rPr>
              <w:t>+0.2%</w:t>
            </w:r>
          </w:p>
        </w:tc>
      </w:tr>
      <w:tr>
        <w:tc>
          <w:tcPr>
            <w:tcW w:type="dxa" w:w="1234"/>
          </w:tcPr>
          <w:p>
            <w:r>
              <w:rPr>
                <w:rFonts w:ascii="Calibri" w:hAnsi="Calibri"/>
                <w:sz w:val="22"/>
              </w:rPr>
              <w:t>Adjusted EBITDA ($M)</w:t>
            </w:r>
          </w:p>
        </w:tc>
        <w:tc>
          <w:tcPr>
            <w:tcW w:type="dxa" w:w="1234"/>
          </w:tcPr>
          <w:p>
            <w:r>
              <w:rPr>
                <w:rFonts w:ascii="Calibri" w:hAnsi="Calibri"/>
                <w:sz w:val="22"/>
              </w:rPr>
              <w:t>$707.9</w:t>
            </w:r>
          </w:p>
        </w:tc>
        <w:tc>
          <w:tcPr>
            <w:tcW w:type="dxa" w:w="1234"/>
          </w:tcPr>
          <w:p>
            <w:r>
              <w:rPr>
                <w:rFonts w:ascii="Calibri" w:hAnsi="Calibri"/>
                <w:sz w:val="22"/>
              </w:rPr>
              <w:t>$628.4</w:t>
            </w:r>
          </w:p>
        </w:tc>
        <w:tc>
          <w:tcPr>
            <w:tcW w:type="dxa" w:w="1234"/>
          </w:tcPr>
          <w:p>
            <w:r>
              <w:rPr>
                <w:rFonts w:ascii="Calibri" w:hAnsi="Calibri"/>
                <w:sz w:val="22"/>
              </w:rPr>
              <w:t>$715.7</w:t>
            </w:r>
          </w:p>
        </w:tc>
        <w:tc>
          <w:tcPr>
            <w:tcW w:type="dxa" w:w="1234"/>
          </w:tcPr>
          <w:p>
            <w:r>
              <w:rPr>
                <w:rFonts w:ascii="Calibri" w:hAnsi="Calibri"/>
                <w:sz w:val="22"/>
              </w:rPr>
              <w:t>+13.9%</w:t>
            </w:r>
          </w:p>
        </w:tc>
        <w:tc>
          <w:tcPr>
            <w:tcW w:type="dxa" w:w="1234"/>
          </w:tcPr>
          <w:p>
            <w:r>
              <w:rPr>
                <w:rFonts w:ascii="Calibri" w:hAnsi="Calibri"/>
                <w:sz w:val="22"/>
              </w:rPr>
              <w:t>~$715</w:t>
            </w:r>
          </w:p>
        </w:tc>
        <w:tc>
          <w:tcPr>
            <w:tcW w:type="dxa" w:w="1234"/>
          </w:tcPr>
          <w:p>
            <w:r>
              <w:rPr>
                <w:rFonts w:ascii="Calibri" w:hAnsi="Calibri"/>
                <w:sz w:val="22"/>
              </w:rPr>
              <w:t>+0.1%</w:t>
            </w:r>
          </w:p>
        </w:tc>
      </w:tr>
      <w:tr>
        <w:tc>
          <w:tcPr>
            <w:tcW w:type="dxa" w:w="1234"/>
          </w:tcPr>
          <w:p>
            <w:r>
              <w:rPr>
                <w:rFonts w:ascii="Calibri" w:hAnsi="Calibri"/>
                <w:sz w:val="22"/>
              </w:rPr>
              <w:t>AFFO ($M)</w:t>
            </w:r>
          </w:p>
        </w:tc>
        <w:tc>
          <w:tcPr>
            <w:tcW w:type="dxa" w:w="1234"/>
          </w:tcPr>
          <w:p>
            <w:r>
              <w:rPr>
                <w:rFonts w:ascii="Calibri" w:hAnsi="Calibri"/>
                <w:sz w:val="22"/>
              </w:rPr>
              <w:t>$426.1</w:t>
            </w:r>
          </w:p>
        </w:tc>
        <w:tc>
          <w:tcPr>
            <w:tcW w:type="dxa" w:w="1234"/>
          </w:tcPr>
          <w:p>
            <w:r>
              <w:rPr>
                <w:rFonts w:ascii="Calibri" w:hAnsi="Calibri"/>
                <w:sz w:val="22"/>
              </w:rPr>
              <w:t>$369.7</w:t>
            </w:r>
          </w:p>
        </w:tc>
        <w:tc>
          <w:tcPr>
            <w:tcW w:type="dxa" w:w="1234"/>
          </w:tcPr>
          <w:p>
            <w:r>
              <w:rPr>
                <w:rFonts w:ascii="Calibri" w:hAnsi="Calibri"/>
                <w:sz w:val="22"/>
              </w:rPr>
              <w:t>$419.4</w:t>
            </w:r>
          </w:p>
        </w:tc>
        <w:tc>
          <w:tcPr>
            <w:tcW w:type="dxa" w:w="1234"/>
          </w:tcPr>
          <w:p>
            <w:r>
              <w:rPr>
                <w:rFonts w:ascii="Calibri" w:hAnsi="Calibri"/>
                <w:sz w:val="22"/>
              </w:rPr>
              <w:t>+13.4%</w:t>
            </w:r>
          </w:p>
        </w:tc>
        <w:tc>
          <w:tcPr>
            <w:tcW w:type="dxa" w:w="1234"/>
          </w:tcPr>
          <w:p>
            <w:r>
              <w:rPr>
                <w:rFonts w:ascii="Calibri" w:hAnsi="Calibri"/>
                <w:sz w:val="22"/>
              </w:rPr>
              <w:t>~$418</w:t>
            </w:r>
          </w:p>
        </w:tc>
        <w:tc>
          <w:tcPr>
            <w:tcW w:type="dxa" w:w="1234"/>
          </w:tcPr>
          <w:p>
            <w:r>
              <w:rPr>
                <w:rFonts w:ascii="Calibri" w:hAnsi="Calibri"/>
                <w:sz w:val="22"/>
              </w:rPr>
              <w:t>+0.3%</w:t>
            </w:r>
          </w:p>
        </w:tc>
      </w:tr>
      <w:tr>
        <w:tc>
          <w:tcPr>
            <w:tcW w:type="dxa" w:w="1234"/>
          </w:tcPr>
          <w:p>
            <w:r>
              <w:rPr>
                <w:rFonts w:ascii="Calibri" w:hAnsi="Calibri"/>
                <w:sz w:val="22"/>
              </w:rPr>
              <w:t>AFFO per Share ($)</w:t>
            </w:r>
          </w:p>
        </w:tc>
        <w:tc>
          <w:tcPr>
            <w:tcW w:type="dxa" w:w="1234"/>
          </w:tcPr>
          <w:p>
            <w:r>
              <w:rPr>
                <w:rFonts w:ascii="Calibri" w:hAnsi="Calibri"/>
                <w:sz w:val="22"/>
              </w:rPr>
              <w:t>$1.43</w:t>
            </w:r>
          </w:p>
        </w:tc>
        <w:tc>
          <w:tcPr>
            <w:tcW w:type="dxa" w:w="1234"/>
          </w:tcPr>
          <w:p>
            <w:r>
              <w:rPr>
                <w:rFonts w:ascii="Calibri" w:hAnsi="Calibri"/>
                <w:sz w:val="22"/>
              </w:rPr>
              <w:t>$1.24</w:t>
            </w:r>
          </w:p>
        </w:tc>
        <w:tc>
          <w:tcPr>
            <w:tcW w:type="dxa" w:w="1234"/>
          </w:tcPr>
          <w:p>
            <w:r>
              <w:rPr>
                <w:rFonts w:ascii="Calibri" w:hAnsi="Calibri"/>
                <w:sz w:val="22"/>
              </w:rPr>
              <w:t>$1.40</w:t>
            </w:r>
          </w:p>
        </w:tc>
        <w:tc>
          <w:tcPr>
            <w:tcW w:type="dxa" w:w="1234"/>
          </w:tcPr>
          <w:p>
            <w:r>
              <w:rPr>
                <w:rFonts w:ascii="Calibri" w:hAnsi="Calibri"/>
                <w:sz w:val="22"/>
              </w:rPr>
              <w:t>+12.9%</w:t>
            </w:r>
          </w:p>
        </w:tc>
        <w:tc>
          <w:tcPr>
            <w:tcW w:type="dxa" w:w="1234"/>
          </w:tcPr>
          <w:p>
            <w:r>
              <w:rPr>
                <w:rFonts w:ascii="Calibri" w:hAnsi="Calibri"/>
                <w:sz w:val="22"/>
              </w:rPr>
              <w:t>~$1.40</w:t>
            </w:r>
          </w:p>
        </w:tc>
        <w:tc>
          <w:tcPr>
            <w:tcW w:type="dxa" w:w="1234"/>
          </w:tcPr>
          <w:p>
            <w:r>
              <w:rPr>
                <w:rFonts w:ascii="Calibri" w:hAnsi="Calibri"/>
                <w:sz w:val="22"/>
              </w:rPr>
              <w:t>0.0%</w:t>
            </w:r>
          </w:p>
        </w:tc>
      </w:tr>
      <w:tr>
        <w:tc>
          <w:tcPr>
            <w:tcW w:type="dxa" w:w="1234"/>
          </w:tcPr>
          <w:p>
            <w:r>
              <w:rPr>
                <w:rFonts w:ascii="Calibri" w:hAnsi="Calibri"/>
                <w:sz w:val="22"/>
              </w:rPr>
              <w:t>Adjusted EPS - Diluted ($)</w:t>
            </w:r>
          </w:p>
        </w:tc>
        <w:tc>
          <w:tcPr>
            <w:tcW w:type="dxa" w:w="1234"/>
          </w:tcPr>
          <w:p>
            <w:r>
              <w:rPr>
                <w:rFonts w:ascii="Calibri" w:hAnsi="Calibri"/>
                <w:sz w:val="22"/>
              </w:rPr>
              <w:t>$0.60</w:t>
            </w:r>
          </w:p>
        </w:tc>
        <w:tc>
          <w:tcPr>
            <w:tcW w:type="dxa" w:w="1234"/>
          </w:tcPr>
          <w:p>
            <w:r>
              <w:rPr>
                <w:rFonts w:ascii="Calibri" w:hAnsi="Calibri"/>
                <w:sz w:val="22"/>
              </w:rPr>
              <w:t>N/A — not in VA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color w:val="525866"/>
          <w:sz w:val="22"/>
        </w:rPr>
        <w:t>Sources: Visible Alpha consensus and actuals data. Q2 2026 guidance from Q1 2026 earnings call (April 30, 2026). Q1 2026 Adjusted EPS of $0.60 sourced from Q1 2026 earnings release; Q2 2026 Adjusted EPS consensus not tracked in Visible Alpha for IRM.</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KPI 1: Total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N/A — not in VA 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$1,557.4</w:t>
            </w:r>
          </w:p>
        </w:tc>
        <w:tc>
          <w:tcPr>
            <w:tcW w:type="dxa" w:w="1728"/>
          </w:tcPr>
          <w:p>
            <w:r>
              <w:rPr>
                <w:rFonts w:ascii="Calibri" w:hAnsi="Calibri"/>
                <w:sz w:val="22"/>
              </w:rPr>
              <w:t>$1,556.3</w:t>
            </w:r>
          </w:p>
        </w:tc>
        <w:tc>
          <w:tcPr>
            <w:tcW w:type="dxa" w:w="1728"/>
          </w:tcPr>
          <w:p>
            <w:r>
              <w:rPr>
                <w:rFonts w:ascii="Calibri" w:hAnsi="Calibri"/>
                <w:b/>
                <w:color w:val="30A46C"/>
                <w:sz w:val="22"/>
              </w:rPr>
              <w:t>+0.1%</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$1,581.3</w:t>
            </w:r>
          </w:p>
        </w:tc>
        <w:tc>
          <w:tcPr>
            <w:tcW w:type="dxa" w:w="1728"/>
          </w:tcPr>
          <w:p>
            <w:r>
              <w:rPr>
                <w:rFonts w:ascii="Calibri" w:hAnsi="Calibri"/>
                <w:sz w:val="22"/>
              </w:rPr>
              <w:t>$1,600.2</w:t>
            </w:r>
          </w:p>
        </w:tc>
        <w:tc>
          <w:tcPr>
            <w:tcW w:type="dxa" w:w="1728"/>
          </w:tcPr>
          <w:p>
            <w:r>
              <w:rPr>
                <w:rFonts w:ascii="Calibri" w:hAnsi="Calibri"/>
                <w:b/>
                <w:color w:val="E5484D"/>
                <w:sz w:val="22"/>
              </w:rPr>
              <w:t>−1.2%</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$1,592.5</w:t>
            </w:r>
          </w:p>
        </w:tc>
        <w:tc>
          <w:tcPr>
            <w:tcW w:type="dxa" w:w="1728"/>
          </w:tcPr>
          <w:p>
            <w:r>
              <w:rPr>
                <w:rFonts w:ascii="Calibri" w:hAnsi="Calibri"/>
                <w:sz w:val="22"/>
              </w:rPr>
              <w:t>$1,603.8</w:t>
            </w:r>
          </w:p>
        </w:tc>
        <w:tc>
          <w:tcPr>
            <w:tcW w:type="dxa" w:w="1728"/>
          </w:tcPr>
          <w:p>
            <w:r>
              <w:rPr>
                <w:rFonts w:ascii="Calibri" w:hAnsi="Calibri"/>
                <w:b/>
                <w:color w:val="E5484D"/>
                <w:sz w:val="22"/>
              </w:rPr>
              <w:t>−0.7%</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$1,711.9</w:t>
            </w:r>
          </w:p>
        </w:tc>
        <w:tc>
          <w:tcPr>
            <w:tcW w:type="dxa" w:w="1728"/>
          </w:tcPr>
          <w:p>
            <w:r>
              <w:rPr>
                <w:rFonts w:ascii="Calibri" w:hAnsi="Calibri"/>
                <w:sz w:val="22"/>
              </w:rPr>
              <w:t>$1,683.1</w:t>
            </w:r>
          </w:p>
        </w:tc>
        <w:tc>
          <w:tcPr>
            <w:tcW w:type="dxa" w:w="1728"/>
          </w:tcPr>
          <w:p>
            <w:r>
              <w:rPr>
                <w:rFonts w:ascii="Calibri" w:hAnsi="Calibri"/>
                <w:b/>
                <w:color w:val="30A46C"/>
                <w:sz w:val="22"/>
              </w:rPr>
              <w:t>+1.7%</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$1,754.1</w:t>
            </w:r>
          </w:p>
        </w:tc>
        <w:tc>
          <w:tcPr>
            <w:tcW w:type="dxa" w:w="1728"/>
          </w:tcPr>
          <w:p>
            <w:r>
              <w:rPr>
                <w:rFonts w:ascii="Calibri" w:hAnsi="Calibri"/>
                <w:sz w:val="22"/>
              </w:rPr>
              <w:t>$1,756.2</w:t>
            </w:r>
          </w:p>
        </w:tc>
        <w:tc>
          <w:tcPr>
            <w:tcW w:type="dxa" w:w="1728"/>
          </w:tcPr>
          <w:p>
            <w:r>
              <w:rPr>
                <w:rFonts w:ascii="Calibri" w:hAnsi="Calibri"/>
                <w:b/>
                <w:color w:val="E5484D"/>
                <w:sz w:val="22"/>
              </w:rPr>
              <w:t>−0.1%</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$1,843.2</w:t>
            </w:r>
          </w:p>
        </w:tc>
        <w:tc>
          <w:tcPr>
            <w:tcW w:type="dxa" w:w="1728"/>
          </w:tcPr>
          <w:p>
            <w:r>
              <w:rPr>
                <w:rFonts w:ascii="Calibri" w:hAnsi="Calibri"/>
                <w:sz w:val="22"/>
              </w:rPr>
              <w:t>$1,806.6</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$1,936.1</w:t>
            </w:r>
          </w:p>
        </w:tc>
        <w:tc>
          <w:tcPr>
            <w:tcW w:type="dxa" w:w="1728"/>
          </w:tcPr>
          <w:p>
            <w:r>
              <w:rPr>
                <w:rFonts w:ascii="Calibri" w:hAnsi="Calibri"/>
                <w:sz w:val="22"/>
              </w:rPr>
              <w:t>$1,863.5</w:t>
            </w:r>
          </w:p>
        </w:tc>
        <w:tc>
          <w:tcPr>
            <w:tcW w:type="dxa" w:w="1728"/>
          </w:tcPr>
          <w:p>
            <w:r>
              <w:rPr>
                <w:rFonts w:ascii="Calibri" w:hAnsi="Calibri"/>
                <w:b/>
                <w:color w:val="30A46C"/>
                <w:sz w:val="22"/>
              </w:rPr>
              <w:t>+3.9%</w:t>
            </w:r>
          </w:p>
        </w:tc>
        <w:tc>
          <w:tcPr>
            <w:tcW w:type="dxa" w:w="1728"/>
          </w:tcPr>
          <w:p>
            <w:r>
              <w:rPr>
                <w:rFonts w:ascii="Calibri" w:hAnsi="Calibri"/>
                <w:sz w:val="22"/>
              </w:rPr>
              <w:t>Beat</w:t>
            </w:r>
          </w:p>
        </w:tc>
      </w:tr>
    </w:tbl>
    <w:p>
      <w:pPr>
        <w:pStyle w:val="Heading3"/>
      </w:pPr>
      <w:r>
        <w:rPr>
          <w:rFonts w:ascii="Calibri" w:hAnsi="Calibri"/>
          <w:b/>
          <w:color w:val="3B4259"/>
          <w:sz w:val="24"/>
        </w:rPr>
        <w:t>KPI 2: AFFO per Share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N/A — not in VA 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$1.13</w:t>
            </w:r>
          </w:p>
        </w:tc>
        <w:tc>
          <w:tcPr>
            <w:tcW w:type="dxa" w:w="1728"/>
          </w:tcPr>
          <w:p>
            <w:r>
              <w:rPr>
                <w:rFonts w:ascii="Calibri" w:hAnsi="Calibri"/>
                <w:sz w:val="22"/>
              </w:rPr>
              <w:t>$1.11</w:t>
            </w:r>
          </w:p>
        </w:tc>
        <w:tc>
          <w:tcPr>
            <w:tcW w:type="dxa" w:w="1728"/>
          </w:tcPr>
          <w:p>
            <w:r>
              <w:rPr>
                <w:rFonts w:ascii="Calibri" w:hAnsi="Calibri"/>
                <w:b/>
                <w:color w:val="30A46C"/>
                <w:sz w:val="22"/>
              </w:rPr>
              <w:t>+1.8%</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$1.24</w:t>
            </w:r>
          </w:p>
        </w:tc>
        <w:tc>
          <w:tcPr>
            <w:tcW w:type="dxa" w:w="1728"/>
          </w:tcPr>
          <w:p>
            <w:r>
              <w:rPr>
                <w:rFonts w:ascii="Calibri" w:hAnsi="Calibri"/>
                <w:sz w:val="22"/>
              </w:rPr>
              <w:t>$1.21</w:t>
            </w:r>
          </w:p>
        </w:tc>
        <w:tc>
          <w:tcPr>
            <w:tcW w:type="dxa" w:w="1728"/>
          </w:tcPr>
          <w:p>
            <w:r>
              <w:rPr>
                <w:rFonts w:ascii="Calibri" w:hAnsi="Calibri"/>
                <w:b/>
                <w:color w:val="30A46C"/>
                <w:sz w:val="22"/>
              </w:rPr>
              <w:t>+2.5%</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$1.17</w:t>
            </w:r>
          </w:p>
        </w:tc>
        <w:tc>
          <w:tcPr>
            <w:tcW w:type="dxa" w:w="1728"/>
          </w:tcPr>
          <w:p>
            <w:r>
              <w:rPr>
                <w:rFonts w:ascii="Calibri" w:hAnsi="Calibri"/>
                <w:sz w:val="22"/>
              </w:rPr>
              <w:t>$1.16</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$1.24</w:t>
            </w:r>
          </w:p>
        </w:tc>
        <w:tc>
          <w:tcPr>
            <w:tcW w:type="dxa" w:w="1728"/>
          </w:tcPr>
          <w:p>
            <w:r>
              <w:rPr>
                <w:rFonts w:ascii="Calibri" w:hAnsi="Calibri"/>
                <w:sz w:val="22"/>
              </w:rPr>
              <w:t>$1.19</w:t>
            </w:r>
          </w:p>
        </w:tc>
        <w:tc>
          <w:tcPr>
            <w:tcW w:type="dxa" w:w="1728"/>
          </w:tcPr>
          <w:p>
            <w:r>
              <w:rPr>
                <w:rFonts w:ascii="Calibri" w:hAnsi="Calibri"/>
                <w:b/>
                <w:color w:val="30A46C"/>
                <w:sz w:val="22"/>
              </w:rPr>
              <w:t>+4.2%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$1.32</w:t>
            </w:r>
          </w:p>
        </w:tc>
        <w:tc>
          <w:tcPr>
            <w:tcW w:type="dxa" w:w="1728"/>
          </w:tcPr>
          <w:p>
            <w:r>
              <w:rPr>
                <w:rFonts w:ascii="Calibri" w:hAnsi="Calibri"/>
                <w:sz w:val="22"/>
              </w:rPr>
              <w:t>$1.30</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$1.44</w:t>
            </w:r>
          </w:p>
        </w:tc>
        <w:tc>
          <w:tcPr>
            <w:tcW w:type="dxa" w:w="1728"/>
          </w:tcPr>
          <w:p>
            <w:r>
              <w:rPr>
                <w:rFonts w:ascii="Calibri" w:hAnsi="Calibri"/>
                <w:sz w:val="22"/>
              </w:rPr>
              <w:t>$1.38</w:t>
            </w:r>
          </w:p>
        </w:tc>
        <w:tc>
          <w:tcPr>
            <w:tcW w:type="dxa" w:w="1728"/>
          </w:tcPr>
          <w:p>
            <w:r>
              <w:rPr>
                <w:rFonts w:ascii="Calibri" w:hAnsi="Calibri"/>
                <w:b/>
                <w:color w:val="30A46C"/>
                <w:sz w:val="22"/>
              </w:rPr>
              <w:t>+4.3%</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$1.43</w:t>
            </w:r>
          </w:p>
        </w:tc>
        <w:tc>
          <w:tcPr>
            <w:tcW w:type="dxa" w:w="1728"/>
          </w:tcPr>
          <w:p>
            <w:r>
              <w:rPr>
                <w:rFonts w:ascii="Calibri" w:hAnsi="Calibri"/>
                <w:sz w:val="22"/>
              </w:rPr>
              <w:t>$1.40</w:t>
            </w:r>
          </w:p>
        </w:tc>
        <w:tc>
          <w:tcPr>
            <w:tcW w:type="dxa" w:w="1728"/>
          </w:tcPr>
          <w:p>
            <w:r>
              <w:rPr>
                <w:rFonts w:ascii="Calibri" w:hAnsi="Calibri"/>
                <w:b/>
                <w:color w:val="30A46C"/>
                <w:sz w:val="22"/>
              </w:rPr>
              <w:t>+2.1%</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IRM has beaten AFFO/share consensus in every quarter with available data (7 of 7), with surprises ranging from +0.9% to +4.3%, establishing a consistent track record of under-promising and over-delivering on its primary cash flow metric. Revenue beats are less consistent (4 of 7 in the available window), with the Q1 2026 beat of +3.9% being the largest in the series.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b/>
          <w:color w:val="525866"/>
          <w:sz w:val="22"/>
        </w:rPr>
        <w:t xml:space="preserve">Management raised full-year 2026 guidance meaningfully at Q1 earnings (April 30) — the largest single-quarter raise in recent history — and no post-earnings events have revised guidance further. </w:t>
      </w:r>
      <w:r>
        <w:rPr>
          <w:rFonts w:ascii="Calibri" w:hAnsi="Calibri"/>
          <w:color w:val="525866"/>
          <w:sz w:val="22"/>
        </w:rPr>
        <w:t>Tone is highly confident, with management explicitly guiding to be "meaningfully above" the 100MW data center leasing target and raising the ALM revenue outlook by $100M to $950M for the full year.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~$1,965M (+15% YoY)</w:t>
            </w:r>
          </w:p>
        </w:tc>
        <w:tc>
          <w:tcPr>
            <w:tcW w:type="dxa" w:w="1728"/>
          </w:tcPr>
          <w:p>
            <w:r>
              <w:rPr>
                <w:rFonts w:ascii="Calibri" w:hAnsi="Calibri"/>
                <w:sz w:val="22"/>
              </w:rPr>
              <w:t>—</w:t>
            </w:r>
          </w:p>
        </w:tc>
        <w:tc>
          <w:tcPr>
            <w:tcW w:type="dxa" w:w="1728"/>
          </w:tcPr>
          <w:p>
            <w:r>
              <w:rPr>
                <w:rFonts w:ascii="Calibri" w:hAnsi="Calibri"/>
                <w:sz w:val="22"/>
              </w:rPr>
              <w:t>$1,969M</w:t>
            </w:r>
          </w:p>
        </w:tc>
        <w:tc>
          <w:tcPr>
            <w:tcW w:type="dxa" w:w="1728"/>
          </w:tcPr>
          <w:p>
            <w:r>
              <w:rPr>
                <w:rFonts w:ascii="Calibri" w:hAnsi="Calibri"/>
                <w:sz w:val="22"/>
              </w:rPr>
              <w:t>No post-earnings revision; consensus +0.2% above guidance midpoint</w:t>
            </w:r>
          </w:p>
        </w:tc>
      </w:tr>
      <w:tr>
        <w:tc>
          <w:tcPr>
            <w:tcW w:type="dxa" w:w="1728"/>
          </w:tcPr>
          <w:p>
            <w:r>
              <w:rPr>
                <w:rFonts w:ascii="Calibri" w:hAnsi="Calibri"/>
                <w:sz w:val="22"/>
              </w:rPr>
              <w:t>Q2 2026 Adj. EBITDA</w:t>
            </w:r>
          </w:p>
        </w:tc>
        <w:tc>
          <w:tcPr>
            <w:tcW w:type="dxa" w:w="1728"/>
          </w:tcPr>
          <w:p>
            <w:r>
              <w:rPr>
                <w:rFonts w:ascii="Calibri" w:hAnsi="Calibri"/>
                <w:sz w:val="22"/>
              </w:rPr>
              <w:t>~$715M (+14% YoY)</w:t>
            </w:r>
          </w:p>
        </w:tc>
        <w:tc>
          <w:tcPr>
            <w:tcW w:type="dxa" w:w="1728"/>
          </w:tcPr>
          <w:p>
            <w:r>
              <w:rPr>
                <w:rFonts w:ascii="Calibri" w:hAnsi="Calibri"/>
                <w:sz w:val="22"/>
              </w:rPr>
              <w:t>—</w:t>
            </w:r>
          </w:p>
        </w:tc>
        <w:tc>
          <w:tcPr>
            <w:tcW w:type="dxa" w:w="1728"/>
          </w:tcPr>
          <w:p>
            <w:r>
              <w:rPr>
                <w:rFonts w:ascii="Calibri" w:hAnsi="Calibri"/>
                <w:sz w:val="22"/>
              </w:rPr>
              <w:t>$715.7M</w:t>
            </w:r>
          </w:p>
        </w:tc>
        <w:tc>
          <w:tcPr>
            <w:tcW w:type="dxa" w:w="1728"/>
          </w:tcPr>
          <w:p>
            <w:r>
              <w:rPr>
                <w:rFonts w:ascii="Calibri" w:hAnsi="Calibri"/>
                <w:sz w:val="22"/>
              </w:rPr>
              <w:t>No post-earnings revision; consensus essentially at guidance</w:t>
            </w:r>
          </w:p>
        </w:tc>
      </w:tr>
      <w:tr>
        <w:tc>
          <w:tcPr>
            <w:tcW w:type="dxa" w:w="1728"/>
          </w:tcPr>
          <w:p>
            <w:r>
              <w:rPr>
                <w:rFonts w:ascii="Calibri" w:hAnsi="Calibri"/>
                <w:sz w:val="22"/>
              </w:rPr>
              <w:t>Q2 2026 AFFO/Share</w:t>
            </w:r>
          </w:p>
        </w:tc>
        <w:tc>
          <w:tcPr>
            <w:tcW w:type="dxa" w:w="1728"/>
          </w:tcPr>
          <w:p>
            <w:r>
              <w:rPr>
                <w:rFonts w:ascii="Calibri" w:hAnsi="Calibri"/>
                <w:sz w:val="22"/>
              </w:rPr>
              <w:t>~$1.40 (+13% YoY)</w:t>
            </w:r>
          </w:p>
        </w:tc>
        <w:tc>
          <w:tcPr>
            <w:tcW w:type="dxa" w:w="1728"/>
          </w:tcPr>
          <w:p>
            <w:r>
              <w:rPr>
                <w:rFonts w:ascii="Calibri" w:hAnsi="Calibri"/>
                <w:sz w:val="22"/>
              </w:rPr>
              <w:t>—</w:t>
            </w:r>
          </w:p>
        </w:tc>
        <w:tc>
          <w:tcPr>
            <w:tcW w:type="dxa" w:w="1728"/>
          </w:tcPr>
          <w:p>
            <w:r>
              <w:rPr>
                <w:rFonts w:ascii="Calibri" w:hAnsi="Calibri"/>
                <w:sz w:val="22"/>
              </w:rPr>
              <w:t>$1.40</w:t>
            </w:r>
          </w:p>
        </w:tc>
        <w:tc>
          <w:tcPr>
            <w:tcW w:type="dxa" w:w="1728"/>
          </w:tcPr>
          <w:p>
            <w:r>
              <w:rPr>
                <w:rFonts w:ascii="Calibri" w:hAnsi="Calibri"/>
                <w:sz w:val="22"/>
              </w:rPr>
              <w:t>No post-earnings revision; consensus at guidance midpoint</w:t>
            </w:r>
          </w:p>
        </w:tc>
      </w:tr>
      <w:tr>
        <w:tc>
          <w:tcPr>
            <w:tcW w:type="dxa" w:w="1728"/>
          </w:tcPr>
          <w:p>
            <w:r>
              <w:rPr>
                <w:rFonts w:ascii="Calibri" w:hAnsi="Calibri"/>
                <w:sz w:val="22"/>
              </w:rPr>
              <w:t>FY 2026 Revenue</w:t>
            </w:r>
          </w:p>
        </w:tc>
        <w:tc>
          <w:tcPr>
            <w:tcW w:type="dxa" w:w="1728"/>
          </w:tcPr>
          <w:p>
            <w:r>
              <w:rPr>
                <w:rFonts w:ascii="Calibri" w:hAnsi="Calibri"/>
                <w:sz w:val="22"/>
              </w:rPr>
              <w:t>$7,825–$7,925M (midpoint $7,875M; +14% YoY)</w:t>
            </w:r>
          </w:p>
        </w:tc>
        <w:tc>
          <w:tcPr>
            <w:tcW w:type="dxa" w:w="1728"/>
          </w:tcPr>
          <w:p>
            <w:r>
              <w:rPr>
                <w:rFonts w:ascii="Calibri" w:hAnsi="Calibri"/>
                <w:sz w:val="22"/>
              </w:rPr>
              <w:t>—</w:t>
            </w:r>
          </w:p>
        </w:tc>
        <w:tc>
          <w:tcPr>
            <w:tcW w:type="dxa" w:w="1728"/>
          </w:tcPr>
          <w:p>
            <w:r>
              <w:rPr>
                <w:rFonts w:ascii="Calibri" w:hAnsi="Calibri"/>
                <w:sz w:val="22"/>
              </w:rPr>
              <w:t>$7,916M</w:t>
            </w:r>
          </w:p>
        </w:tc>
        <w:tc>
          <w:tcPr>
            <w:tcW w:type="dxa" w:w="1728"/>
          </w:tcPr>
          <w:p>
            <w:r>
              <w:rPr>
                <w:rFonts w:ascii="Calibri" w:hAnsi="Calibri"/>
                <w:sz w:val="22"/>
              </w:rPr>
              <w:t>↑ Raised at Q1 earnings Apr 30 by $175M at midpoint vs. prior guidance of $7,625–$7,775M; no further revision since</w:t>
            </w:r>
          </w:p>
        </w:tc>
      </w:tr>
      <w:tr>
        <w:tc>
          <w:tcPr>
            <w:tcW w:type="dxa" w:w="1728"/>
          </w:tcPr>
          <w:p>
            <w:r>
              <w:rPr>
                <w:rFonts w:ascii="Calibri" w:hAnsi="Calibri"/>
                <w:sz w:val="22"/>
              </w:rPr>
              <w:t>FY 2026 Adj. EBITDA</w:t>
            </w:r>
          </w:p>
        </w:tc>
        <w:tc>
          <w:tcPr>
            <w:tcW w:type="dxa" w:w="1728"/>
          </w:tcPr>
          <w:p>
            <w:r>
              <w:rPr>
                <w:rFonts w:ascii="Calibri" w:hAnsi="Calibri"/>
                <w:sz w:val="22"/>
              </w:rPr>
              <w:t>$2,925–$2,965M (midpoint $2,945M; +14% YoY)</w:t>
            </w:r>
          </w:p>
        </w:tc>
        <w:tc>
          <w:tcPr>
            <w:tcW w:type="dxa" w:w="1728"/>
          </w:tcPr>
          <w:p>
            <w:r>
              <w:rPr>
                <w:rFonts w:ascii="Calibri" w:hAnsi="Calibri"/>
                <w:sz w:val="22"/>
              </w:rPr>
              <w:t>—</w:t>
            </w:r>
          </w:p>
        </w:tc>
        <w:tc>
          <w:tcPr>
            <w:tcW w:type="dxa" w:w="1728"/>
          </w:tcPr>
          <w:p>
            <w:r>
              <w:rPr>
                <w:rFonts w:ascii="Calibri" w:hAnsi="Calibri"/>
                <w:sz w:val="22"/>
              </w:rPr>
              <w:t>$2,947M</w:t>
            </w:r>
          </w:p>
        </w:tc>
        <w:tc>
          <w:tcPr>
            <w:tcW w:type="dxa" w:w="1728"/>
          </w:tcPr>
          <w:p>
            <w:r>
              <w:rPr>
                <w:rFonts w:ascii="Calibri" w:hAnsi="Calibri"/>
                <w:sz w:val="22"/>
              </w:rPr>
              <w:t>↑ Raised at Q1 earnings Apr 30 by $45M at midpoint vs. prior guidance of $2,875–$2,925M</w:t>
            </w:r>
          </w:p>
        </w:tc>
      </w:tr>
      <w:tr>
        <w:tc>
          <w:tcPr>
            <w:tcW w:type="dxa" w:w="1728"/>
          </w:tcPr>
          <w:p>
            <w:r>
              <w:rPr>
                <w:rFonts w:ascii="Calibri" w:hAnsi="Calibri"/>
                <w:sz w:val="22"/>
              </w:rPr>
              <w:t>FY 2026 AFFO/Share</w:t>
            </w:r>
          </w:p>
        </w:tc>
        <w:tc>
          <w:tcPr>
            <w:tcW w:type="dxa" w:w="1728"/>
          </w:tcPr>
          <w:p>
            <w:r>
              <w:rPr>
                <w:rFonts w:ascii="Calibri" w:hAnsi="Calibri"/>
                <w:sz w:val="22"/>
              </w:rPr>
              <w:t>$5.79–$5.86 (midpoint $5.825; +13% YoY)</w:t>
            </w:r>
          </w:p>
        </w:tc>
        <w:tc>
          <w:tcPr>
            <w:tcW w:type="dxa" w:w="1728"/>
          </w:tcPr>
          <w:p>
            <w:r>
              <w:rPr>
                <w:rFonts w:ascii="Calibri" w:hAnsi="Calibri"/>
                <w:sz w:val="22"/>
              </w:rPr>
              <w:t>—</w:t>
            </w:r>
          </w:p>
        </w:tc>
        <w:tc>
          <w:tcPr>
            <w:tcW w:type="dxa" w:w="1728"/>
          </w:tcPr>
          <w:p>
            <w:r>
              <w:rPr>
                <w:rFonts w:ascii="Calibri" w:hAnsi="Calibri"/>
                <w:sz w:val="22"/>
              </w:rPr>
              <w:t>$5.85</w:t>
            </w:r>
          </w:p>
        </w:tc>
        <w:tc>
          <w:tcPr>
            <w:tcW w:type="dxa" w:w="1728"/>
          </w:tcPr>
          <w:p>
            <w:r>
              <w:rPr>
                <w:rFonts w:ascii="Calibri" w:hAnsi="Calibri"/>
                <w:sz w:val="22"/>
              </w:rPr>
              <w:t>↑ Raised at Q1 earnings Apr 30 by $0.09/share at midpoint vs. prior guidance of $5.69–$5.79</w:t>
            </w:r>
          </w:p>
        </w:tc>
      </w:tr>
      <w:tr>
        <w:tc>
          <w:tcPr>
            <w:tcW w:type="dxa" w:w="1728"/>
          </w:tcPr>
          <w:p>
            <w:r>
              <w:rPr>
                <w:rFonts w:ascii="Calibri" w:hAnsi="Calibri"/>
                <w:sz w:val="22"/>
              </w:rPr>
              <w:t>FY 2026 ALM Revenue</w:t>
            </w:r>
          </w:p>
        </w:tc>
        <w:tc>
          <w:tcPr>
            <w:tcW w:type="dxa" w:w="1728"/>
          </w:tcPr>
          <w:p>
            <w:r>
              <w:rPr>
                <w:rFonts w:ascii="Calibri" w:hAnsi="Calibri"/>
                <w:sz w:val="22"/>
              </w:rPr>
              <w:t>~$950M (raised from ~$850M prior)</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 Raised $100M at Q1 earnings; $40M from Q1 beat, $60M from improved H2 outlook</w:t>
            </w:r>
          </w:p>
        </w:tc>
      </w:tr>
      <w:tr>
        <w:tc>
          <w:tcPr>
            <w:tcW w:type="dxa" w:w="1728"/>
          </w:tcPr>
          <w:p>
            <w:r>
              <w:rPr>
                <w:rFonts w:ascii="Calibri" w:hAnsi="Calibri"/>
                <w:sz w:val="22"/>
              </w:rPr>
              <w:t>FY 2026 DC Leasing (MW)</w:t>
            </w:r>
          </w:p>
        </w:tc>
        <w:tc>
          <w:tcPr>
            <w:tcW w:type="dxa" w:w="1728"/>
          </w:tcPr>
          <w:p>
            <w:r>
              <w:rPr>
                <w:rFonts w:ascii="Calibri" w:hAnsi="Calibri"/>
                <w:sz w:val="22"/>
              </w:rPr>
              <w:t>"Meaningfully above" 100MW (32MW signed YTD through April)</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Highly confident tone; 400MW pipeline energizing over next 24 months; new lease pricing up double digits</w:t>
            </w:r>
          </w:p>
        </w:tc>
      </w:tr>
    </w:tbl>
    <w:p>
      <w:r>
        <w:rPr>
          <w:rFonts w:ascii="Calibri" w:hAnsi="Calibri"/>
          <w:color w:val="525866"/>
          <w:sz w:val="22"/>
        </w:rPr>
        <w:t>Sources: Q1 2026 earnings call transcript and earnings release (April 30, 2026); Visible Alpha consensus data. No post-Q1 guidance revisions were identified in SEC filings or corporate announcements. The June 26, 2026 8-K related solely to the $1.5B senior notes offering and contained no guidance updates.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moved sharply higher since Q1 earnings — Q2 revenue consensus jumped ~5.6% and AFFO/share jumped ~0.5% in the five days post-print — and have since stabilized, suggesting the Street has fully absorbed the guidance raise with no further drift. </w:t>
      </w:r>
      <w:r>
        <w:rPr>
          <w:rFonts w:ascii="Calibri" w:hAnsi="Calibri"/>
          <w:color w:val="525866"/>
          <w:sz w:val="22"/>
        </w:rPr>
        <w:t>The gap between current consensus and guidance is negligible across all metrics, leaving little cushion or risk from estimate positioning alone.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7,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$1,968.2M</w:t>
            </w:r>
          </w:p>
        </w:tc>
        <w:tc>
          <w:tcPr>
            <w:tcW w:type="dxa" w:w="1080"/>
          </w:tcPr>
          <w:p>
            <w:r>
              <w:rPr>
                <w:rFonts w:ascii="Calibri" w:hAnsi="Calibri"/>
                <w:sz w:val="22"/>
              </w:rPr>
              <w:t>$1,968.9M</w:t>
            </w:r>
          </w:p>
        </w:tc>
        <w:tc>
          <w:tcPr>
            <w:tcW w:type="dxa" w:w="1080"/>
          </w:tcPr>
          <w:p>
            <w:r>
              <w:rPr>
                <w:rFonts w:ascii="Calibri" w:hAnsi="Calibri"/>
                <w:sz w:val="22"/>
              </w:rPr>
              <w:t>+0.0%</w:t>
            </w:r>
          </w:p>
        </w:tc>
        <w:tc>
          <w:tcPr>
            <w:tcW w:type="dxa" w:w="1080"/>
          </w:tcPr>
          <w:p>
            <w:r>
              <w:rPr>
                <w:rFonts w:ascii="Calibri" w:hAnsi="Calibri"/>
                <w:sz w:val="22"/>
              </w:rPr>
              <w:t>~$1,965M</w:t>
            </w:r>
          </w:p>
        </w:tc>
        <w:tc>
          <w:tcPr>
            <w:tcW w:type="dxa" w:w="1080"/>
          </w:tcPr>
          <w:p>
            <w:r>
              <w:rPr>
                <w:rFonts w:ascii="Calibri" w:hAnsi="Calibri"/>
                <w:sz w:val="22"/>
              </w:rPr>
              <w:t>~$1,965M (unchanged)</w:t>
            </w:r>
          </w:p>
        </w:tc>
        <w:tc>
          <w:tcPr>
            <w:tcW w:type="dxa" w:w="1080"/>
          </w:tcPr>
          <w:p>
            <w:r>
              <w:rPr>
                <w:rFonts w:ascii="Calibri" w:hAnsi="Calibri"/>
                <w:sz w:val="22"/>
              </w:rPr>
              <w:t>—</w:t>
            </w:r>
          </w:p>
        </w:tc>
        <w:tc>
          <w:tcPr>
            <w:tcW w:type="dxa" w:w="1080"/>
          </w:tcPr>
          <w:p>
            <w:r>
              <w:rPr>
                <w:rFonts w:ascii="Calibri" w:hAnsi="Calibri"/>
                <w:sz w:val="22"/>
              </w:rPr>
              <w:t>+0.2%</w:t>
            </w:r>
          </w:p>
        </w:tc>
      </w:tr>
      <w:tr>
        <w:tc>
          <w:tcPr>
            <w:tcW w:type="dxa" w:w="1080"/>
          </w:tcPr>
          <w:p>
            <w:r>
              <w:rPr>
                <w:rFonts w:ascii="Calibri" w:hAnsi="Calibri"/>
                <w:sz w:val="22"/>
              </w:rPr>
              <w:t>Adj. EBITDA — Q2 2026</w:t>
            </w:r>
          </w:p>
        </w:tc>
        <w:tc>
          <w:tcPr>
            <w:tcW w:type="dxa" w:w="1080"/>
          </w:tcPr>
          <w:p>
            <w:r>
              <w:rPr>
                <w:rFonts w:ascii="Calibri" w:hAnsi="Calibri"/>
                <w:sz w:val="22"/>
              </w:rPr>
              <w:t>$718.0M</w:t>
            </w:r>
          </w:p>
        </w:tc>
        <w:tc>
          <w:tcPr>
            <w:tcW w:type="dxa" w:w="1080"/>
          </w:tcPr>
          <w:p>
            <w:r>
              <w:rPr>
                <w:rFonts w:ascii="Calibri" w:hAnsi="Calibri"/>
                <w:sz w:val="22"/>
              </w:rPr>
              <w:t>$715.7M</w:t>
            </w:r>
          </w:p>
        </w:tc>
        <w:tc>
          <w:tcPr>
            <w:tcW w:type="dxa" w:w="1080"/>
          </w:tcPr>
          <w:p>
            <w:r>
              <w:rPr>
                <w:rFonts w:ascii="Calibri" w:hAnsi="Calibri"/>
                <w:sz w:val="22"/>
              </w:rPr>
              <w:t>−0.3%</w:t>
            </w:r>
          </w:p>
        </w:tc>
        <w:tc>
          <w:tcPr>
            <w:tcW w:type="dxa" w:w="1080"/>
          </w:tcPr>
          <w:p>
            <w:r>
              <w:rPr>
                <w:rFonts w:ascii="Calibri" w:hAnsi="Calibri"/>
                <w:sz w:val="22"/>
              </w:rPr>
              <w:t>~$715M</w:t>
            </w:r>
          </w:p>
        </w:tc>
        <w:tc>
          <w:tcPr>
            <w:tcW w:type="dxa" w:w="1080"/>
          </w:tcPr>
          <w:p>
            <w:r>
              <w:rPr>
                <w:rFonts w:ascii="Calibri" w:hAnsi="Calibri"/>
                <w:sz w:val="22"/>
              </w:rPr>
              <w:t>~$715M (unchanged)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AFFO/Share — Q2 2026</w:t>
            </w:r>
          </w:p>
        </w:tc>
        <w:tc>
          <w:tcPr>
            <w:tcW w:type="dxa" w:w="1080"/>
          </w:tcPr>
          <w:p>
            <w:r>
              <w:rPr>
                <w:rFonts w:ascii="Calibri" w:hAnsi="Calibri"/>
                <w:sz w:val="22"/>
              </w:rPr>
              <w:t>$1.407</w:t>
            </w:r>
          </w:p>
        </w:tc>
        <w:tc>
          <w:tcPr>
            <w:tcW w:type="dxa" w:w="1080"/>
          </w:tcPr>
          <w:p>
            <w:r>
              <w:rPr>
                <w:rFonts w:ascii="Calibri" w:hAnsi="Calibri"/>
                <w:sz w:val="22"/>
              </w:rPr>
              <w:t>$1.403</w:t>
            </w:r>
          </w:p>
        </w:tc>
        <w:tc>
          <w:tcPr>
            <w:tcW w:type="dxa" w:w="1080"/>
          </w:tcPr>
          <w:p>
            <w:r>
              <w:rPr>
                <w:rFonts w:ascii="Calibri" w:hAnsi="Calibri"/>
                <w:sz w:val="22"/>
              </w:rPr>
              <w:t>−0.3%</w:t>
            </w:r>
          </w:p>
        </w:tc>
        <w:tc>
          <w:tcPr>
            <w:tcW w:type="dxa" w:w="1080"/>
          </w:tcPr>
          <w:p>
            <w:r>
              <w:rPr>
                <w:rFonts w:ascii="Calibri" w:hAnsi="Calibri"/>
                <w:sz w:val="22"/>
              </w:rPr>
              <w:t>~$1.40</w:t>
            </w:r>
          </w:p>
        </w:tc>
        <w:tc>
          <w:tcPr>
            <w:tcW w:type="dxa" w:w="1080"/>
          </w:tcPr>
          <w:p>
            <w:r>
              <w:rPr>
                <w:rFonts w:ascii="Calibri" w:hAnsi="Calibri"/>
                <w:sz w:val="22"/>
              </w:rPr>
              <w:t>~$1.40 (unchanged)</w:t>
            </w:r>
          </w:p>
        </w:tc>
        <w:tc>
          <w:tcPr>
            <w:tcW w:type="dxa" w:w="1080"/>
          </w:tcPr>
          <w:p>
            <w:r>
              <w:rPr>
                <w:rFonts w:ascii="Calibri" w:hAnsi="Calibri"/>
                <w:sz w:val="22"/>
              </w:rPr>
              <w:t>—</w:t>
            </w:r>
          </w:p>
        </w:tc>
        <w:tc>
          <w:tcPr>
            <w:tcW w:type="dxa" w:w="1080"/>
          </w:tcPr>
          <w:p>
            <w:r>
              <w:rPr>
                <w:rFonts w:ascii="Calibri" w:hAnsi="Calibri"/>
                <w:sz w:val="22"/>
              </w:rPr>
              <w:t>+0.2%</w:t>
            </w:r>
          </w:p>
        </w:tc>
      </w:tr>
      <w:tr>
        <w:tc>
          <w:tcPr>
            <w:tcW w:type="dxa" w:w="1080"/>
          </w:tcPr>
          <w:p>
            <w:r>
              <w:rPr>
                <w:rFonts w:ascii="Calibri" w:hAnsi="Calibri"/>
                <w:sz w:val="22"/>
              </w:rPr>
              <w:t>Total Revenue — FY 2026</w:t>
            </w:r>
          </w:p>
        </w:tc>
        <w:tc>
          <w:tcPr>
            <w:tcW w:type="dxa" w:w="1080"/>
          </w:tcPr>
          <w:p>
            <w:r>
              <w:rPr>
                <w:rFonts w:ascii="Calibri" w:hAnsi="Calibri"/>
                <w:sz w:val="22"/>
              </w:rPr>
              <w:t>$7,908.0M</w:t>
            </w:r>
          </w:p>
        </w:tc>
        <w:tc>
          <w:tcPr>
            <w:tcW w:type="dxa" w:w="1080"/>
          </w:tcPr>
          <w:p>
            <w:r>
              <w:rPr>
                <w:rFonts w:ascii="Calibri" w:hAnsi="Calibri"/>
                <w:sz w:val="22"/>
              </w:rPr>
              <w:t>$7,915.9M</w:t>
            </w:r>
          </w:p>
        </w:tc>
        <w:tc>
          <w:tcPr>
            <w:tcW w:type="dxa" w:w="1080"/>
          </w:tcPr>
          <w:p>
            <w:r>
              <w:rPr>
                <w:rFonts w:ascii="Calibri" w:hAnsi="Calibri"/>
                <w:sz w:val="22"/>
              </w:rPr>
              <w:t>+0.1%</w:t>
            </w:r>
          </w:p>
        </w:tc>
        <w:tc>
          <w:tcPr>
            <w:tcW w:type="dxa" w:w="1080"/>
          </w:tcPr>
          <w:p>
            <w:r>
              <w:rPr>
                <w:rFonts w:ascii="Calibri" w:hAnsi="Calibri"/>
                <w:sz w:val="22"/>
              </w:rPr>
              <w:t>$7,825–$7,925M (mid: $7,875M)</w:t>
            </w:r>
          </w:p>
        </w:tc>
        <w:tc>
          <w:tcPr>
            <w:tcW w:type="dxa" w:w="1080"/>
          </w:tcPr>
          <w:p>
            <w:r>
              <w:rPr>
                <w:rFonts w:ascii="Calibri" w:hAnsi="Calibri"/>
                <w:sz w:val="22"/>
              </w:rPr>
              <w:t>$7,825–$7,925M (unchanged)</w:t>
            </w:r>
          </w:p>
        </w:tc>
        <w:tc>
          <w:tcPr>
            <w:tcW w:type="dxa" w:w="1080"/>
          </w:tcPr>
          <w:p>
            <w:r>
              <w:rPr>
                <w:rFonts w:ascii="Calibri" w:hAnsi="Calibri"/>
                <w:sz w:val="22"/>
              </w:rPr>
              <w:t>—</w:t>
            </w:r>
          </w:p>
        </w:tc>
        <w:tc>
          <w:tcPr>
            <w:tcW w:type="dxa" w:w="1080"/>
          </w:tcPr>
          <w:p>
            <w:r>
              <w:rPr>
                <w:rFonts w:ascii="Calibri" w:hAnsi="Calibri"/>
                <w:sz w:val="22"/>
              </w:rPr>
              <w:t>+0.5%</w:t>
            </w:r>
          </w:p>
        </w:tc>
      </w:tr>
      <w:tr>
        <w:tc>
          <w:tcPr>
            <w:tcW w:type="dxa" w:w="1080"/>
          </w:tcPr>
          <w:p>
            <w:r>
              <w:rPr>
                <w:rFonts w:ascii="Calibri" w:hAnsi="Calibri"/>
                <w:sz w:val="22"/>
              </w:rPr>
              <w:t>Adj. EBITDA — FY 2026</w:t>
            </w:r>
          </w:p>
        </w:tc>
        <w:tc>
          <w:tcPr>
            <w:tcW w:type="dxa" w:w="1080"/>
          </w:tcPr>
          <w:p>
            <w:r>
              <w:rPr>
                <w:rFonts w:ascii="Calibri" w:hAnsi="Calibri"/>
                <w:sz w:val="22"/>
              </w:rPr>
              <w:t>$2,953.9M</w:t>
            </w:r>
          </w:p>
        </w:tc>
        <w:tc>
          <w:tcPr>
            <w:tcW w:type="dxa" w:w="1080"/>
          </w:tcPr>
          <w:p>
            <w:r>
              <w:rPr>
                <w:rFonts w:ascii="Calibri" w:hAnsi="Calibri"/>
                <w:sz w:val="22"/>
              </w:rPr>
              <w:t>$2,947.3M</w:t>
            </w:r>
          </w:p>
        </w:tc>
        <w:tc>
          <w:tcPr>
            <w:tcW w:type="dxa" w:w="1080"/>
          </w:tcPr>
          <w:p>
            <w:r>
              <w:rPr>
                <w:rFonts w:ascii="Calibri" w:hAnsi="Calibri"/>
                <w:sz w:val="22"/>
              </w:rPr>
              <w:t>−0.2%</w:t>
            </w:r>
          </w:p>
        </w:tc>
        <w:tc>
          <w:tcPr>
            <w:tcW w:type="dxa" w:w="1080"/>
          </w:tcPr>
          <w:p>
            <w:r>
              <w:rPr>
                <w:rFonts w:ascii="Calibri" w:hAnsi="Calibri"/>
                <w:sz w:val="22"/>
              </w:rPr>
              <w:t>$2,925–$2,965M (mid: $2,945M)</w:t>
            </w:r>
          </w:p>
        </w:tc>
        <w:tc>
          <w:tcPr>
            <w:tcW w:type="dxa" w:w="1080"/>
          </w:tcPr>
          <w:p>
            <w:r>
              <w:rPr>
                <w:rFonts w:ascii="Calibri" w:hAnsi="Calibri"/>
                <w:sz w:val="22"/>
              </w:rPr>
              <w:t>$2,925–$2,965M (unchanged)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AFFO/Share — FY 2026</w:t>
            </w:r>
          </w:p>
        </w:tc>
        <w:tc>
          <w:tcPr>
            <w:tcW w:type="dxa" w:w="1080"/>
          </w:tcPr>
          <w:p>
            <w:r>
              <w:rPr>
                <w:rFonts w:ascii="Calibri" w:hAnsi="Calibri"/>
                <w:sz w:val="22"/>
              </w:rPr>
              <w:t>$5.851</w:t>
            </w:r>
          </w:p>
        </w:tc>
        <w:tc>
          <w:tcPr>
            <w:tcW w:type="dxa" w:w="1080"/>
          </w:tcPr>
          <w:p>
            <w:r>
              <w:rPr>
                <w:rFonts w:ascii="Calibri" w:hAnsi="Calibri"/>
                <w:sz w:val="22"/>
              </w:rPr>
              <w:t>$5.849</w:t>
            </w:r>
          </w:p>
        </w:tc>
        <w:tc>
          <w:tcPr>
            <w:tcW w:type="dxa" w:w="1080"/>
          </w:tcPr>
          <w:p>
            <w:r>
              <w:rPr>
                <w:rFonts w:ascii="Calibri" w:hAnsi="Calibri"/>
                <w:sz w:val="22"/>
              </w:rPr>
              <w:t>0.0%</w:t>
            </w:r>
          </w:p>
        </w:tc>
        <w:tc>
          <w:tcPr>
            <w:tcW w:type="dxa" w:w="1080"/>
          </w:tcPr>
          <w:p>
            <w:r>
              <w:rPr>
                <w:rFonts w:ascii="Calibri" w:hAnsi="Calibri"/>
                <w:sz w:val="22"/>
              </w:rPr>
              <w:t>$5.79–$5.86 (mid: $5.825)</w:t>
            </w:r>
          </w:p>
        </w:tc>
        <w:tc>
          <w:tcPr>
            <w:tcW w:type="dxa" w:w="1080"/>
          </w:tcPr>
          <w:p>
            <w:r>
              <w:rPr>
                <w:rFonts w:ascii="Calibri" w:hAnsi="Calibri"/>
                <w:sz w:val="22"/>
              </w:rPr>
              <w:t>$5.79–$5.86 (unchanged)</w:t>
            </w:r>
          </w:p>
        </w:tc>
        <w:tc>
          <w:tcPr>
            <w:tcW w:type="dxa" w:w="1080"/>
          </w:tcPr>
          <w:p>
            <w:r>
              <w:rPr>
                <w:rFonts w:ascii="Calibri" w:hAnsi="Calibri"/>
                <w:sz w:val="22"/>
              </w:rPr>
              <w:t>—</w:t>
            </w:r>
          </w:p>
        </w:tc>
        <w:tc>
          <w:tcPr>
            <w:tcW w:type="dxa" w:w="1080"/>
          </w:tcPr>
          <w:p>
            <w:r>
              <w:rPr>
                <w:rFonts w:ascii="Calibri" w:hAnsi="Calibri"/>
                <w:sz w:val="22"/>
              </w:rPr>
              <w:t>+0.4%</w:t>
            </w:r>
          </w:p>
        </w:tc>
      </w:tr>
    </w:tbl>
    <w:p>
      <w:r>
        <w:rPr>
          <w:rFonts w:ascii="Calibri" w:hAnsi="Calibri"/>
          <w:color w:val="525866"/>
          <w:sz w:val="22"/>
        </w:rPr>
        <w:t>Estimates snapped to guidance immediately after Q1 earnings and have been essentially flat since, with no meaningful drift in either direction. The near-zero gap between consensus and guidance across all metrics means there is no embedded cushion from estimate positioning — IRM must execute at or above its own guidance to generate a positive surprise. 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b/>
          <w:color w:val="525866"/>
          <w:sz w:val="22"/>
        </w:rPr>
        <w:t xml:space="preserve">IRM's post-earnings rally (+5.5% on April 30) has fully reversed — the stock is essentially flat since the Q1 print while SPY is up ~7% — driven by multiple compression rather than estimate cuts, as NTM EV/EBITDA has contracted from ~18.8x to ~18.1x over the past three months. </w:t>
      </w:r>
      <w:r>
        <w:rPr>
          <w:rFonts w:ascii="Calibri" w:hAnsi="Calibri"/>
          <w:color w:val="525866"/>
          <w:sz w:val="22"/>
        </w:rPr>
        <w:t>The underperformance vs. the market is a sentiment/multiple story, not a fundamentals story, and creates a cleaner setup into Q2 earnings.</w:t>
      </w:r>
    </w:p>
    <w:p>
      <w:r>
        <w:rPr>
          <w:rFonts w:ascii="Calibri" w:hAnsi="Calibri"/>
          <w:b/>
          <w:color w:val="525866"/>
          <w:sz w:val="22"/>
        </w:rPr>
        <w:t>Chart: IRM vs. XLRE vs. SPY — Indexed to 100 at April 30, 2026 (Last Earnings Date)</w:t>
      </w:r>
    </w:p>
    <w:p>
      <w:r>
        <w:rPr>
          <w:rFonts w:ascii="Calibri" w:hAnsi="Calibri"/>
          <w:color w:val="525866"/>
          <w:sz w:val="22"/>
        </w:rPr>
        <w:t>The chart below indexes all three series to 100 at the April 30, 2026 close (IRM: $125.99 | XLRE: $44.40 | SPY: $718.66). As of August 4, 2026: IRM at ~$125.51 (index: ~99.6), XLRE at ~$45.17 (index: ~101.7), SPY at ~$771.33 (index: ~107.3). Sector ETF used: XLRE (Real Estate Select Sector SPDR Fund), which is the standard benchmark for US-listed REITs including specialty REITs such as IRM.</w:t>
      </w:r>
    </w:p>
    <w:p>
      <w:r>
        <w:rPr>
          <w:i/>
        </w:rPr>
        <w:t>[Image not found: gs://lum-production-user-data/conversations/conv_01k1aqhqhqfhkbhqhqhqhqhqhq/plotly_charts/irm_stock_performance.json]</w:t>
      </w:r>
    </w:p>
    <w:p>
      <w:pPr>
        <w:jc w:val="center"/>
      </w:pPr>
      <w:r>
        <w:rPr>
          <w:i/>
          <w:color w:val="666666"/>
          <w:sz w:val="18"/>
        </w:rPr>
        <w:t>IRM vs. XLRE vs. S&amp;P 500 — Since April 30, 2026 (Last Earnings Date). Note: Chart path is illustrative; see narrative data above for indexed performance figures.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b/>
          <w:color w:val="525866"/>
          <w:sz w:val="22"/>
        </w:rPr>
        <w:t>The most important post-Q1 development is the $1.5B senior notes offering (June 26), which strengthens the balance sheet for continued data center development; no guidance revisions or operational surprises have emerged since April 30.</w:t>
      </w:r>
    </w:p>
    <w:p>
      <w:pPr>
        <w:pStyle w:val="ListBullet"/>
        <w:ind w:left="360" w:hanging="360"/>
      </w:pPr>
      <w:r>
        <w:rPr>
          <w:rFonts w:ascii="Calibri" w:hAnsi="Calibri"/>
          <w:b/>
          <w:color w:val="525866"/>
          <w:sz w:val="22"/>
        </w:rPr>
        <w:t>August 5, 2026 — Q2 2026 Earnings Release &amp; Conference Call (8:30 AM ET).</w:t>
      </w:r>
      <w:r>
        <w:rPr>
          <w:rFonts w:ascii="Calibri" w:hAnsi="Calibri"/>
          <w:color w:val="525866"/>
          <w:sz w:val="22"/>
        </w:rPr>
        <w:t xml:space="preserve"> IRM will report Q2 results before market open. Consensus sits at guidance; the print will be the first test of whether the Q1 ALM and data center acceleration is sustainable. Source: Iron Mountain press release, July 15, 2026.</w:t>
      </w:r>
    </w:p>
    <w:p>
      <w:pPr>
        <w:pStyle w:val="ListBullet"/>
        <w:ind w:left="360" w:hanging="360"/>
      </w:pPr>
      <w:r>
        <w:rPr>
          <w:rFonts w:ascii="Calibri" w:hAnsi="Calibri"/>
          <w:b/>
          <w:color w:val="525866"/>
          <w:sz w:val="22"/>
        </w:rPr>
        <w:t>June 26, 2026 — $1.5 Billion Senior Notes Offering Completed (6.25% due 2035).</w:t>
      </w:r>
      <w:r>
        <w:rPr>
          <w:rFonts w:ascii="Calibri" w:hAnsi="Calibri"/>
          <w:color w:val="525866"/>
          <w:sz w:val="22"/>
        </w:rPr>
        <w:t xml:space="preserve"> IRM completed a private offering of $1.5B in 6.25% Senior Notes due January 2035, priced at par. Net proceeds of ~$1,481.8M will be used to repay revolving credit facility borrowings and for general corporate purposes. </w:t>
      </w:r>
      <w:r>
        <w:rPr>
          <w:rFonts w:ascii="Calibri" w:hAnsi="Calibri"/>
          <w:i/>
          <w:color w:val="525866"/>
          <w:sz w:val="22"/>
        </w:rPr>
        <w:t xml:space="preserve">Implication: </w:t>
      </w:r>
      <w:r>
        <w:rPr>
          <w:rFonts w:ascii="Calibri" w:hAnsi="Calibri"/>
          <w:color w:val="525866"/>
          <w:sz w:val="22"/>
        </w:rPr>
        <w:t>Proactive liability management; extends maturity profile and frees up revolver capacity for data center development CapEx. Modestly increases interest expense but at a fixed rate, reducing floating-rate exposure. Source: IRM 8-K, June 26, 2026.</w:t>
      </w:r>
    </w:p>
    <w:p>
      <w:pPr>
        <w:pStyle w:val="ListBullet"/>
        <w:ind w:left="360" w:hanging="360"/>
      </w:pPr>
      <w:r>
        <w:rPr>
          <w:rFonts w:ascii="Calibri" w:hAnsi="Calibri"/>
          <w:b/>
          <w:color w:val="525866"/>
          <w:sz w:val="22"/>
        </w:rPr>
        <w:t>May 12, 2026 — Annual Shareholder Meeting.</w:t>
      </w:r>
      <w:r>
        <w:rPr>
          <w:rFonts w:ascii="Calibri" w:hAnsi="Calibri"/>
          <w:color w:val="525866"/>
          <w:sz w:val="22"/>
        </w:rPr>
        <w:t xml:space="preserve"> IRM shareholders affirmed the Board and approved all key proposals at the annual meeting. No material governance changes. Source: IRM 8-K, May 12, 2026.</w:t>
      </w:r>
    </w:p>
    <w:p>
      <w:pPr>
        <w:pStyle w:val="ListBullet"/>
        <w:ind w:left="360" w:hanging="360"/>
      </w:pPr>
      <w:r>
        <w:rPr>
          <w:rFonts w:ascii="Calibri" w:hAnsi="Calibri"/>
          <w:b/>
          <w:color w:val="525866"/>
          <w:sz w:val="22"/>
        </w:rPr>
        <w:t>April 30, 2026 — Q1 2026 Earnings: Record Beat Across All Metrics.</w:t>
      </w:r>
      <w:r>
        <w:rPr>
          <w:rFonts w:ascii="Calibri" w:hAnsi="Calibri"/>
          <w:color w:val="525866"/>
          <w:sz w:val="22"/>
        </w:rPr>
        <w:t xml:space="preserve"> Revenue of $1.936B (+21.6% YoY) beat guidance by ~$80M; Adjusted EBITDA of $708M beat by $23M; AFFO/share of $1.43 beat by $0.04. Total organic growth of ~17% was the highest in 25+ years. ALM organic growth of ~77% (data center decommissioning &gt;100%, enterprise &gt;45%). Full-year 2026 guidance raised by $175M at revenue midpoint. </w:t>
      </w:r>
      <w:r>
        <w:rPr>
          <w:rFonts w:ascii="Calibri" w:hAnsi="Calibri"/>
          <w:i/>
          <w:color w:val="525866"/>
          <w:sz w:val="22"/>
        </w:rPr>
        <w:t xml:space="preserve">Implication: </w:t>
      </w:r>
      <w:r>
        <w:rPr>
          <w:rFonts w:ascii="Calibri" w:hAnsi="Calibri"/>
          <w:color w:val="525866"/>
          <w:sz w:val="22"/>
        </w:rPr>
        <w:t>Sets a high bar for Q2 but also demonstrates the business has genuine operating leverage; the key question is whether ALM hyperscale decommissioning activity sustains at Q1 levels. Source: IRM Q1 2026 Earnings Release and Transcript.</w:t>
      </w:r>
    </w:p>
    <w:p>
      <w:pPr>
        <w:pStyle w:val="ListBullet"/>
        <w:ind w:left="360" w:hanging="360"/>
      </w:pPr>
      <w:r>
        <w:rPr>
          <w:rFonts w:ascii="Calibri" w:hAnsi="Calibri"/>
          <w:b/>
          <w:color w:val="525866"/>
          <w:sz w:val="22"/>
        </w:rPr>
        <w:t>April 30, 2026 — Q2 2026 Dividend Declared: $0.864/share.</w:t>
      </w:r>
      <w:r>
        <w:rPr>
          <w:rFonts w:ascii="Calibri" w:hAnsi="Calibri"/>
          <w:color w:val="525866"/>
          <w:sz w:val="22"/>
        </w:rPr>
        <w:t xml:space="preserve"> Payable July 3, 2026 to shareholders of record June 15, 2026. Annualized dividend of $3.456/share implies a ~2.8% yield at current prices. Payout ratio remains in the low-60s% of AFFO, consistent with management's stated target.</w:t>
      </w:r>
    </w:p>
    <w:p>
      <w:pPr>
        <w:pStyle w:val="ListBullet"/>
        <w:ind w:left="360" w:hanging="360"/>
      </w:pPr>
      <w:r>
        <w:rPr>
          <w:rFonts w:ascii="Calibri" w:hAnsi="Calibri"/>
          <w:b/>
          <w:color w:val="525866"/>
          <w:sz w:val="22"/>
        </w:rPr>
        <w:t>April 30, 2026 — Northern Virginia Data Center Capacity Expanded +20% to 195MW.</w:t>
      </w:r>
      <w:r>
        <w:rPr>
          <w:rFonts w:ascii="Calibri" w:hAnsi="Calibri"/>
          <w:color w:val="525866"/>
          <w:sz w:val="22"/>
        </w:rPr>
        <w:t xml:space="preserve"> Management increased future development capacity in Northern Virginia by 20% to 195MW, the largest single-market expansion in the company's data center history. </w:t>
      </w:r>
      <w:r>
        <w:rPr>
          <w:rFonts w:ascii="Calibri" w:hAnsi="Calibri"/>
          <w:i/>
          <w:color w:val="525866"/>
          <w:sz w:val="22"/>
        </w:rPr>
        <w:t xml:space="preserve">Implication: </w:t>
      </w:r>
      <w:r>
        <w:rPr>
          <w:rFonts w:ascii="Calibri" w:hAnsi="Calibri"/>
          <w:color w:val="525866"/>
          <w:sz w:val="22"/>
        </w:rPr>
        <w:t>Signals management's confidence in sustained hyperscale and AI demand; Northern Virginia is the most supply-constrained and highest-priced data center market in the US (confirmed by DLR and EQIX peer commentary).</w:t>
      </w:r>
    </w:p>
    <w:p>
      <w:pPr>
        <w:pStyle w:val="ListBullet"/>
        <w:ind w:left="360" w:hanging="360"/>
      </w:pPr>
      <w:r>
        <w:rPr>
          <w:rFonts w:ascii="Calibri" w:hAnsi="Calibri"/>
          <w:b/>
          <w:color w:val="525866"/>
          <w:sz w:val="22"/>
        </w:rPr>
        <w:t>Macro / Sector: Data Center Demand Environment Remains Exceptional.</w:t>
      </w:r>
      <w:r>
        <w:rPr>
          <w:rFonts w:ascii="Calibri" w:hAnsi="Calibri"/>
          <w:color w:val="525866"/>
          <w:sz w:val="22"/>
        </w:rPr>
        <w:t xml:space="preserve"> Peer commentary from DLR (Q2 2026: record $1.9B backlog, 25%+ renewal spreads, 100% increase in development pipeline in H1 2026) and EQIX (Q2 2026: 23% bookings growth, largest-ever guidance raise, $5–$7B annual CapEx through 2029) confirms the AI-driven demand cycle is accelerating. CCI noted a "15-year backlog of data center demand vs. what data center companies could currently deliver." </w:t>
      </w:r>
      <w:r>
        <w:rPr>
          <w:rFonts w:ascii="Calibri" w:hAnsi="Calibri"/>
          <w:i/>
          <w:color w:val="525866"/>
          <w:sz w:val="22"/>
        </w:rPr>
        <w:t xml:space="preserve">Implication: </w:t>
      </w:r>
      <w:r>
        <w:rPr>
          <w:rFonts w:ascii="Calibri" w:hAnsi="Calibri"/>
          <w:color w:val="525866"/>
          <w:sz w:val="22"/>
        </w:rPr>
        <w:t>Strongly positive read-through for IRM's data center leasing pipeline and pricing power heading into Q2.</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b/>
          <w:color w:val="525866"/>
          <w:sz w:val="22"/>
        </w:rPr>
        <w:t>All insider transactions since Q1 earnings are 10b5-1 planned sales — no discretionary open-market selling or buying. The CEO's recurring monthly 10b5-1 sales are pre-scheduled and obligation-driven; nothing in the insider activity signals a change in management's view of the business.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Meaney, William L.</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38,474</w:t>
            </w:r>
          </w:p>
        </w:tc>
        <w:tc>
          <w:tcPr>
            <w:tcW w:type="dxa" w:w="1440"/>
          </w:tcPr>
          <w:p>
            <w:r>
              <w:rPr>
                <w:rFonts w:ascii="Calibri" w:hAnsi="Calibri"/>
                <w:sz w:val="22"/>
              </w:rPr>
              <w:t>Jul 1, 2026</w:t>
            </w:r>
          </w:p>
        </w:tc>
        <w:tc>
          <w:tcPr>
            <w:tcW w:type="dxa" w:w="1440"/>
          </w:tcPr>
          <w:p>
            <w:r>
              <w:rPr>
                <w:rFonts w:ascii="Calibri" w:hAnsi="Calibri"/>
                <w:sz w:val="22"/>
              </w:rPr>
              <w:t>Recurring monthly 10b5-1 plan; pre-scheduled, not discretionary</w:t>
            </w:r>
          </w:p>
        </w:tc>
      </w:tr>
      <w:tr>
        <w:tc>
          <w:tcPr>
            <w:tcW w:type="dxa" w:w="1440"/>
          </w:tcPr>
          <w:p>
            <w:r>
              <w:rPr>
                <w:rFonts w:ascii="Calibri" w:hAnsi="Calibri"/>
                <w:sz w:val="22"/>
              </w:rPr>
              <w:t>Kidd, Mark</w:t>
            </w:r>
          </w:p>
        </w:tc>
        <w:tc>
          <w:tcPr>
            <w:tcW w:type="dxa" w:w="1440"/>
          </w:tcPr>
          <w:p>
            <w:r>
              <w:rPr>
                <w:rFonts w:ascii="Calibri" w:hAnsi="Calibri"/>
                <w:sz w:val="22"/>
              </w:rPr>
              <w:t>EVP, GM Data Centers &amp; ALM</w:t>
            </w:r>
          </w:p>
        </w:tc>
        <w:tc>
          <w:tcPr>
            <w:tcW w:type="dxa" w:w="1440"/>
          </w:tcPr>
          <w:p>
            <w:r>
              <w:rPr>
                <w:rFonts w:ascii="Calibri" w:hAnsi="Calibri"/>
                <w:sz w:val="22"/>
              </w:rPr>
              <w:t>10b5-1 Planned Sale</w:t>
            </w:r>
          </w:p>
        </w:tc>
        <w:tc>
          <w:tcPr>
            <w:tcW w:type="dxa" w:w="1440"/>
          </w:tcPr>
          <w:p>
            <w:r>
              <w:rPr>
                <w:rFonts w:ascii="Calibri" w:hAnsi="Calibri"/>
                <w:sz w:val="22"/>
              </w:rPr>
              <w:t>6,000</w:t>
            </w:r>
          </w:p>
        </w:tc>
        <w:tc>
          <w:tcPr>
            <w:tcW w:type="dxa" w:w="1440"/>
          </w:tcPr>
          <w:p>
            <w:r>
              <w:rPr>
                <w:rFonts w:ascii="Calibri" w:hAnsi="Calibri"/>
                <w:sz w:val="22"/>
              </w:rPr>
              <w:t>Jul 1, 2026</w:t>
            </w:r>
          </w:p>
        </w:tc>
        <w:tc>
          <w:tcPr>
            <w:tcW w:type="dxa" w:w="1440"/>
          </w:tcPr>
          <w:p>
            <w:r>
              <w:rPr>
                <w:rFonts w:ascii="Calibri" w:hAnsi="Calibri"/>
                <w:sz w:val="22"/>
              </w:rPr>
              <w:t>Recurring monthly 10b5-1 plan; 107,507 shares retained post-sale</w:t>
            </w:r>
          </w:p>
        </w:tc>
      </w:tr>
      <w:tr>
        <w:tc>
          <w:tcPr>
            <w:tcW w:type="dxa" w:w="1440"/>
          </w:tcPr>
          <w:p>
            <w:r>
              <w:rPr>
                <w:rFonts w:ascii="Calibri" w:hAnsi="Calibri"/>
                <w:sz w:val="22"/>
              </w:rPr>
              <w:t>Kidd, Mark</w:t>
            </w:r>
          </w:p>
        </w:tc>
        <w:tc>
          <w:tcPr>
            <w:tcW w:type="dxa" w:w="1440"/>
          </w:tcPr>
          <w:p>
            <w:r>
              <w:rPr>
                <w:rFonts w:ascii="Calibri" w:hAnsi="Calibri"/>
                <w:sz w:val="22"/>
              </w:rPr>
              <w:t>EVP, GM Data Centers &amp; ALM</w:t>
            </w:r>
          </w:p>
        </w:tc>
        <w:tc>
          <w:tcPr>
            <w:tcW w:type="dxa" w:w="1440"/>
          </w:tcPr>
          <w:p>
            <w:r>
              <w:rPr>
                <w:rFonts w:ascii="Calibri" w:hAnsi="Calibri"/>
                <w:sz w:val="22"/>
              </w:rPr>
              <w:t>10b5-1 Planned Sale</w:t>
            </w:r>
          </w:p>
        </w:tc>
        <w:tc>
          <w:tcPr>
            <w:tcW w:type="dxa" w:w="1440"/>
          </w:tcPr>
          <w:p>
            <w:r>
              <w:rPr>
                <w:rFonts w:ascii="Calibri" w:hAnsi="Calibri"/>
                <w:sz w:val="22"/>
              </w:rPr>
              <w:t>6,000</w:t>
            </w:r>
          </w:p>
        </w:tc>
        <w:tc>
          <w:tcPr>
            <w:tcW w:type="dxa" w:w="1440"/>
          </w:tcPr>
          <w:p>
            <w:r>
              <w:rPr>
                <w:rFonts w:ascii="Calibri" w:hAnsi="Calibri"/>
                <w:sz w:val="22"/>
              </w:rPr>
              <w:t>Jun 1, 2026</w:t>
            </w:r>
          </w:p>
        </w:tc>
        <w:tc>
          <w:tcPr>
            <w:tcW w:type="dxa" w:w="1440"/>
          </w:tcPr>
          <w:p>
            <w:r>
              <w:rPr>
                <w:rFonts w:ascii="Calibri" w:hAnsi="Calibri"/>
                <w:sz w:val="22"/>
              </w:rPr>
              <w:t>Recurring monthly 10b5-1 plan; 113,507 shares retained post-sale</w:t>
            </w:r>
          </w:p>
        </w:tc>
      </w:tr>
      <w:tr>
        <w:tc>
          <w:tcPr>
            <w:tcW w:type="dxa" w:w="1440"/>
          </w:tcPr>
          <w:p>
            <w:r>
              <w:rPr>
                <w:rFonts w:ascii="Calibri" w:hAnsi="Calibri"/>
                <w:sz w:val="22"/>
              </w:rPr>
              <w:t>Borges, Daniel</w:t>
            </w:r>
          </w:p>
        </w:tc>
        <w:tc>
          <w:tcPr>
            <w:tcW w:type="dxa" w:w="1440"/>
          </w:tcPr>
          <w:p>
            <w:r>
              <w:rPr>
                <w:rFonts w:ascii="Calibri" w:hAnsi="Calibri"/>
                <w:sz w:val="22"/>
              </w:rPr>
              <w:t>SVP &amp; Chief Accounting Officer</w:t>
            </w:r>
          </w:p>
        </w:tc>
        <w:tc>
          <w:tcPr>
            <w:tcW w:type="dxa" w:w="1440"/>
          </w:tcPr>
          <w:p>
            <w:r>
              <w:rPr>
                <w:rFonts w:ascii="Calibri" w:hAnsi="Calibri"/>
                <w:sz w:val="22"/>
              </w:rPr>
              <w:t>10b5-1 Planned Sale</w:t>
            </w:r>
          </w:p>
        </w:tc>
        <w:tc>
          <w:tcPr>
            <w:tcW w:type="dxa" w:w="1440"/>
          </w:tcPr>
          <w:p>
            <w:r>
              <w:rPr>
                <w:rFonts w:ascii="Calibri" w:hAnsi="Calibri"/>
                <w:sz w:val="22"/>
              </w:rPr>
              <w:t>7,189</w:t>
            </w:r>
          </w:p>
        </w:tc>
        <w:tc>
          <w:tcPr>
            <w:tcW w:type="dxa" w:w="1440"/>
          </w:tcPr>
          <w:p>
            <w:r>
              <w:rPr>
                <w:rFonts w:ascii="Calibri" w:hAnsi="Calibri"/>
                <w:sz w:val="22"/>
              </w:rPr>
              <w:t>May 21, 2026</w:t>
            </w:r>
          </w:p>
        </w:tc>
        <w:tc>
          <w:tcPr>
            <w:tcW w:type="dxa" w:w="1440"/>
          </w:tcPr>
          <w:p>
            <w:r>
              <w:rPr>
                <w:rFonts w:ascii="Calibri" w:hAnsi="Calibri"/>
                <w:sz w:val="22"/>
              </w:rPr>
              <w:t>10b5-1 plan; 0 shares retained post-sale (full plan execution)</w:t>
            </w:r>
          </w:p>
        </w:tc>
      </w:tr>
      <w:tr>
        <w:tc>
          <w:tcPr>
            <w:tcW w:type="dxa" w:w="1440"/>
          </w:tcPr>
          <w:p>
            <w:r>
              <w:rPr>
                <w:rFonts w:ascii="Calibri" w:hAnsi="Calibri"/>
                <w:sz w:val="22"/>
              </w:rPr>
              <w:t>Rakowich, Walter C.</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757</w:t>
            </w:r>
          </w:p>
        </w:tc>
        <w:tc>
          <w:tcPr>
            <w:tcW w:type="dxa" w:w="1440"/>
          </w:tcPr>
          <w:p>
            <w:r>
              <w:rPr>
                <w:rFonts w:ascii="Calibri" w:hAnsi="Calibri"/>
                <w:sz w:val="22"/>
              </w:rPr>
              <w:t>May 20, 2026</w:t>
            </w:r>
          </w:p>
        </w:tc>
        <w:tc>
          <w:tcPr>
            <w:tcW w:type="dxa" w:w="1440"/>
          </w:tcPr>
          <w:p>
            <w:r>
              <w:rPr>
                <w:rFonts w:ascii="Calibri" w:hAnsi="Calibri"/>
                <w:sz w:val="22"/>
              </w:rPr>
              <w:t>10b5-1 plan; 1,135 shares retained post-sale</w:t>
            </w:r>
          </w:p>
        </w:tc>
      </w:tr>
      <w:tr>
        <w:tc>
          <w:tcPr>
            <w:tcW w:type="dxa" w:w="1440"/>
          </w:tcPr>
          <w:p>
            <w:r>
              <w:rPr>
                <w:rFonts w:ascii="Calibri" w:hAnsi="Calibri"/>
                <w:sz w:val="22"/>
              </w:rPr>
              <w:t>Arway, Pamela M.</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1,892</w:t>
            </w:r>
          </w:p>
        </w:tc>
        <w:tc>
          <w:tcPr>
            <w:tcW w:type="dxa" w:w="1440"/>
          </w:tcPr>
          <w:p>
            <w:r>
              <w:rPr>
                <w:rFonts w:ascii="Calibri" w:hAnsi="Calibri"/>
                <w:sz w:val="22"/>
              </w:rPr>
              <w:t>May 12, 2026</w:t>
            </w:r>
          </w:p>
        </w:tc>
        <w:tc>
          <w:tcPr>
            <w:tcW w:type="dxa" w:w="1440"/>
          </w:tcPr>
          <w:p>
            <w:r>
              <w:rPr>
                <w:rFonts w:ascii="Calibri" w:hAnsi="Calibri"/>
                <w:sz w:val="22"/>
              </w:rPr>
              <w:t>10b5-1 plan; 40,196 shares retained post-sale</w:t>
            </w:r>
          </w:p>
        </w:tc>
      </w:tr>
      <w:tr>
        <w:tc>
          <w:tcPr>
            <w:tcW w:type="dxa" w:w="1440"/>
          </w:tcPr>
          <w:p>
            <w:r>
              <w:rPr>
                <w:rFonts w:ascii="Calibri" w:hAnsi="Calibri"/>
                <w:sz w:val="22"/>
              </w:rPr>
              <w:t>Meaney, William L.</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38,474</w:t>
            </w:r>
          </w:p>
        </w:tc>
        <w:tc>
          <w:tcPr>
            <w:tcW w:type="dxa" w:w="1440"/>
          </w:tcPr>
          <w:p>
            <w:r>
              <w:rPr>
                <w:rFonts w:ascii="Calibri" w:hAnsi="Calibri"/>
                <w:sz w:val="22"/>
              </w:rPr>
              <w:t>May 8, 2026</w:t>
            </w:r>
          </w:p>
        </w:tc>
        <w:tc>
          <w:tcPr>
            <w:tcW w:type="dxa" w:w="1440"/>
          </w:tcPr>
          <w:p>
            <w:r>
              <w:rPr>
                <w:rFonts w:ascii="Calibri" w:hAnsi="Calibri"/>
                <w:sz w:val="22"/>
              </w:rPr>
              <w:t>Recurring monthly 10b5-1 plan; pre-scheduled, not discretionary</w:t>
            </w:r>
          </w:p>
        </w:tc>
      </w:tr>
      <w:tr>
        <w:tc>
          <w:tcPr>
            <w:tcW w:type="dxa" w:w="1440"/>
          </w:tcPr>
          <w:p>
            <w:r>
              <w:rPr>
                <w:rFonts w:ascii="Calibri" w:hAnsi="Calibri"/>
                <w:sz w:val="22"/>
              </w:rPr>
              <w:t>Kidd, Mark</w:t>
            </w:r>
          </w:p>
        </w:tc>
        <w:tc>
          <w:tcPr>
            <w:tcW w:type="dxa" w:w="1440"/>
          </w:tcPr>
          <w:p>
            <w:r>
              <w:rPr>
                <w:rFonts w:ascii="Calibri" w:hAnsi="Calibri"/>
                <w:sz w:val="22"/>
              </w:rPr>
              <w:t>EVP, GM Data Centers &amp; ALM</w:t>
            </w:r>
          </w:p>
        </w:tc>
        <w:tc>
          <w:tcPr>
            <w:tcW w:type="dxa" w:w="1440"/>
          </w:tcPr>
          <w:p>
            <w:r>
              <w:rPr>
                <w:rFonts w:ascii="Calibri" w:hAnsi="Calibri"/>
                <w:sz w:val="22"/>
              </w:rPr>
              <w:t>10b5-1 Planned Sale</w:t>
            </w:r>
          </w:p>
        </w:tc>
        <w:tc>
          <w:tcPr>
            <w:tcW w:type="dxa" w:w="1440"/>
          </w:tcPr>
          <w:p>
            <w:r>
              <w:rPr>
                <w:rFonts w:ascii="Calibri" w:hAnsi="Calibri"/>
                <w:sz w:val="22"/>
              </w:rPr>
              <w:t>6,000</w:t>
            </w:r>
          </w:p>
        </w:tc>
        <w:tc>
          <w:tcPr>
            <w:tcW w:type="dxa" w:w="1440"/>
          </w:tcPr>
          <w:p>
            <w:r>
              <w:rPr>
                <w:rFonts w:ascii="Calibri" w:hAnsi="Calibri"/>
                <w:sz w:val="22"/>
              </w:rPr>
              <w:t>May 8, 2026</w:t>
            </w:r>
          </w:p>
        </w:tc>
        <w:tc>
          <w:tcPr>
            <w:tcW w:type="dxa" w:w="1440"/>
          </w:tcPr>
          <w:p>
            <w:r>
              <w:rPr>
                <w:rFonts w:ascii="Calibri" w:hAnsi="Calibri"/>
                <w:sz w:val="22"/>
              </w:rPr>
              <w:t>Recurring monthly 10b5-1 plan; 119,507 shares retained post-sale</w:t>
            </w:r>
          </w:p>
        </w:tc>
      </w:tr>
    </w:tbl>
    <w:p>
      <w:r>
        <w:rPr>
          <w:rFonts w:ascii="Calibri" w:hAnsi="Calibri"/>
          <w:color w:val="525866"/>
          <w:sz w:val="22"/>
        </w:rPr>
        <w:t>No open-market buys or discretionary sells were identified in the period. All transactions are pre-scheduled 10b5-1 plan sales. The CEO's 38,474-share monthly sales are a recurring pattern and carry no informational signal. Mark Kidd (EVP, GM Data Centers &amp; ALM — the most operationally relevant insider for the growth thesis) retains a substantial position of 107,507 shares after three consecutive monthly plan sales. Source: SEC Form 4 filings.</w:t>
      </w:r>
    </w:p>
    <w:p>
      <w:r>
        <w:br w:type="page"/>
      </w:r>
    </w:p>
    <w:p>
      <w:pPr>
        <w:pStyle w:val="Heading1"/>
        <w:pBdr>
          <w:bottom w:val="single" w:sz="4" w:space="1" w:color="FB9120"/>
        </w:pBdr>
      </w:pPr>
      <w:r>
        <w:rPr>
          <w:rFonts w:ascii="Calibri" w:hAnsi="Calibri"/>
          <w:b/>
          <w:color w:val="3B4259"/>
          <w:sz w:val="40"/>
        </w:rPr>
        <w:t>8. Peer Commentaries — Current-Quarter Read-Throughs (Last 60 Days)</w:t>
      </w:r>
    </w:p>
    <w:p>
      <w:r>
        <w:rPr>
          <w:rFonts w:ascii="Calibri" w:hAnsi="Calibri"/>
          <w:b/>
          <w:color w:val="525866"/>
          <w:sz w:val="22"/>
        </w:rPr>
        <w:t xml:space="preserve">Key Takeaway: </w:t>
      </w:r>
      <w:r>
        <w:rPr>
          <w:rFonts w:ascii="Calibri" w:hAnsi="Calibri"/>
          <w:b/>
          <w:color w:val="525866"/>
          <w:sz w:val="22"/>
        </w:rPr>
        <w:t>All three data center peers that reported Q2 2026 results in late July delivered record or near-record leasing, raised full-year guidance, and described a demand environment that is "materially stronger than a year ago" (EQIX) — a uniformly positive read-through for IRM's data center segment heading into its own Q2 print.</w:t>
      </w:r>
    </w:p>
    <w:p>
      <w:r>
        <w:rPr>
          <w:rFonts w:ascii="Calibri" w:hAnsi="Calibri"/>
          <w:b/>
          <w:color w:val="525866"/>
          <w:sz w:val="22"/>
        </w:rPr>
        <w:t xml:space="preserve">Scope and methodology: </w:t>
      </w:r>
      <w:r>
        <w:rPr>
          <w:rFonts w:ascii="Calibri" w:hAnsi="Calibri"/>
          <w:color w:val="525866"/>
          <w:sz w:val="22"/>
        </w:rPr>
        <w:t>The commentary below is drawn exclusively from Q2 2026 earnings calls (DLR: July 23, CCI: July 22, AMT: July 28, EQIX: July 29) — all of which cover the same reporting quarter (April–June 2026) as IRM's upcoming print. No prior-quarter commentary is included. Read-throughs are assessed for relevance to IRM's specific business mix (data center leasing, ALM, physical records storage) and limitations are noted where business models diverge.</w:t>
      </w:r>
    </w:p>
    <w:p>
      <w:pPr>
        <w:pStyle w:val="Heading2"/>
      </w:pPr>
      <w:r>
        <w:rPr>
          <w:rFonts w:ascii="Calibri" w:hAnsi="Calibri"/>
          <w:b/>
          <w:color w:val="3B4259"/>
          <w:sz w:val="28"/>
        </w:rPr>
        <w:t>Digital Realty (DLR) — Q2 2026 Earnings (July 23, 2026) — PRIMARY READ-THROUGH</w:t>
      </w:r>
    </w:p>
    <w:p>
      <w:r>
        <w:rPr>
          <w:rFonts w:ascii="Calibri" w:hAnsi="Calibri"/>
          <w:b/>
          <w:color w:val="525866"/>
          <w:sz w:val="22"/>
        </w:rPr>
        <w:t xml:space="preserve">Relevance to IRM: </w:t>
      </w:r>
      <w:r>
        <w:rPr>
          <w:rFonts w:ascii="Calibri" w:hAnsi="Calibri"/>
          <w:color w:val="525866"/>
          <w:sz w:val="22"/>
        </w:rPr>
        <w:t>High. DLR is IRM's closest data center REIT peer by business model (wholesale/hyperscale colocation, long-duration leases, development pipeline). DLR's commentary on leasing demand, renewal spreads, power availability, and development returns maps directly to IRM's data center segment.</w:t>
      </w:r>
    </w:p>
    <w:p>
      <w:pPr>
        <w:pStyle w:val="ListBullet"/>
        <w:ind w:left="360" w:hanging="360"/>
      </w:pPr>
      <w:r>
        <w:rPr>
          <w:rFonts w:ascii="Calibri" w:hAnsi="Calibri"/>
          <w:b/>
          <w:color w:val="525866"/>
          <w:sz w:val="22"/>
        </w:rPr>
        <w:t xml:space="preserve">Record backlog and leasing momentum: </w:t>
      </w:r>
      <w:r>
        <w:rPr>
          <w:rFonts w:ascii="Calibri" w:hAnsi="Calibri"/>
          <w:color w:val="525866"/>
          <w:sz w:val="22"/>
        </w:rPr>
        <w:t xml:space="preserve">DLR described Q2 2026 as an "extraordinarily productive quarter" with total backlog reaching a new record of $1.9B at 100% share (or $1.4B at DLR share), representing ~30% of in-place data center revenue and supporting "multiple years of double-digit growth." The company commenced $208M of annualized rent in Q2 (third-strongest commencement quarter on record) and signed two additional hyperscale leases post-quarter representing $410M of annualized GAAP base rent at 100% share. </w:t>
      </w:r>
      <w:r>
        <w:rPr>
          <w:rFonts w:ascii="Calibri" w:hAnsi="Calibri"/>
          <w:i/>
          <w:color w:val="525866"/>
          <w:sz w:val="22"/>
        </w:rPr>
        <w:t xml:space="preserve">IRM read-through: </w:t>
      </w:r>
      <w:r>
        <w:rPr>
          <w:rFonts w:ascii="Calibri" w:hAnsi="Calibri"/>
          <w:color w:val="525866"/>
          <w:sz w:val="22"/>
        </w:rPr>
        <w:t xml:space="preserve"> Directly positive for IRM's data center leasing pipeline. Management guided to "meaningfully above" 100MW for 2026 with 32MW signed through April; DLR's record backlog and post-quarter hyperscale signings confirm the demand environment that supports IRM's confidence.</w:t>
      </w:r>
    </w:p>
    <w:p>
      <w:pPr>
        <w:pStyle w:val="ListBullet"/>
        <w:ind w:left="360" w:hanging="360"/>
      </w:pPr>
      <w:r>
        <w:rPr>
          <w:rFonts w:ascii="Calibri" w:hAnsi="Calibri"/>
          <w:b/>
          <w:color w:val="525866"/>
          <w:sz w:val="22"/>
        </w:rPr>
        <w:t xml:space="preserve">Record renewal spreads of 25%+: </w:t>
      </w:r>
      <w:r>
        <w:rPr>
          <w:rFonts w:ascii="Calibri" w:hAnsi="Calibri"/>
          <w:color w:val="525866"/>
          <w:sz w:val="22"/>
        </w:rPr>
        <w:t xml:space="preserve">DLR signed over $261M of renewals with cash releasing spreads exceeding 25%, "reflecting the growing supply-demand imbalance in certain markets." The &gt;1MW category delivered a "remarkable 66.7% mark-to-market renewal" in APAC (Singapore). Full-year 2026 cash renewal spread guidance raised to 9–11%, up 250bps from prior quarter. </w:t>
      </w:r>
      <w:r>
        <w:rPr>
          <w:rFonts w:ascii="Calibri" w:hAnsi="Calibri"/>
          <w:i/>
          <w:color w:val="525866"/>
          <w:sz w:val="22"/>
        </w:rPr>
        <w:t xml:space="preserve">IRM read-through: </w:t>
      </w:r>
      <w:r>
        <w:rPr>
          <w:rFonts w:ascii="Calibri" w:hAnsi="Calibri"/>
          <w:color w:val="525866"/>
          <w:sz w:val="22"/>
        </w:rPr>
        <w:t xml:space="preserve"> IRM reported 12% cash and 14% GAAP renewal pricing spreads in Q1 2026. DLR's record spreads confirm the pricing environment is strengthening, not softening, which supports IRM's ability to sustain or improve its own renewal pricing in Q2.</w:t>
      </w:r>
    </w:p>
    <w:p>
      <w:pPr>
        <w:pStyle w:val="ListBullet"/>
        <w:ind w:left="360" w:hanging="360"/>
      </w:pPr>
      <w:r>
        <w:rPr>
          <w:rFonts w:ascii="Calibri" w:hAnsi="Calibri"/>
          <w:b/>
          <w:color w:val="525866"/>
          <w:sz w:val="22"/>
        </w:rPr>
        <w:t xml:space="preserve">Development pipeline doubled in H1 2026: </w:t>
      </w:r>
      <w:r>
        <w:rPr>
          <w:rFonts w:ascii="Calibri" w:hAnsi="Calibri"/>
          <w:color w:val="525866"/>
          <w:sz w:val="22"/>
        </w:rPr>
        <w:t xml:space="preserve">DLR's development pipeline expanded to 1.4GW under construction at a total cost of $20B, representing a 100% increase in H1 2026. The pipeline is 63% pre-leased (pro forma July signings) at an 11.5% average expected stabilized yield. Commencements are expected to accelerate to $635M of annualized rent in H2 2026 (45% Q3, 55% Q4). </w:t>
      </w:r>
      <w:r>
        <w:rPr>
          <w:rFonts w:ascii="Calibri" w:hAnsi="Calibri"/>
          <w:i/>
          <w:color w:val="525866"/>
          <w:sz w:val="22"/>
        </w:rPr>
        <w:t xml:space="preserve">IRM read-through: </w:t>
      </w:r>
      <w:r>
        <w:rPr>
          <w:rFonts w:ascii="Calibri" w:hAnsi="Calibri"/>
          <w:color w:val="525866"/>
          <w:sz w:val="22"/>
        </w:rPr>
        <w:t xml:space="preserve"> IRM's 400MW pipeline energizing over the next 24 months is well-positioned in a market where DLR is doubling its own pipeline. The high pre-leasing rates and strong yields confirm IRM's non-speculative build discipline is appropriate for the current environment.</w:t>
      </w:r>
    </w:p>
    <w:p>
      <w:pPr>
        <w:pStyle w:val="ListBullet"/>
        <w:ind w:left="360" w:hanging="360"/>
      </w:pPr>
      <w:r>
        <w:rPr>
          <w:rFonts w:ascii="Calibri" w:hAnsi="Calibri"/>
          <w:b/>
          <w:color w:val="525866"/>
          <w:sz w:val="22"/>
        </w:rPr>
        <w:t xml:space="preserve">Power and Northern Virginia: </w:t>
      </w:r>
      <w:r>
        <w:rPr>
          <w:rFonts w:ascii="Calibri" w:hAnsi="Calibri"/>
          <w:color w:val="525866"/>
          <w:sz w:val="22"/>
        </w:rPr>
        <w:t xml:space="preserve">DLR commenced development of 312MW including "significant available inventory in Northern Virginia" and announced expansion into Kansas City with 600MW of utility power ramping in early 2028. Northern Virginia was explicitly cited as a "highly constrained market." </w:t>
      </w:r>
      <w:r>
        <w:rPr>
          <w:rFonts w:ascii="Calibri" w:hAnsi="Calibri"/>
          <w:i/>
          <w:color w:val="525866"/>
          <w:sz w:val="22"/>
        </w:rPr>
        <w:t xml:space="preserve">IRM read-through: </w:t>
      </w:r>
      <w:r>
        <w:rPr>
          <w:rFonts w:ascii="Calibri" w:hAnsi="Calibri"/>
          <w:color w:val="525866"/>
          <w:sz w:val="22"/>
        </w:rPr>
        <w:t xml:space="preserve"> IRM increased its Northern Virginia future development capacity by 20% to 195MW at Q1 earnings. DLR's commentary confirms Northern Virginia remains the most active and supply-constrained market, validating IRM's capacity expansion decision.</w:t>
      </w:r>
    </w:p>
    <w:p>
      <w:pPr>
        <w:pStyle w:val="ListBullet"/>
        <w:ind w:left="360" w:hanging="360"/>
      </w:pPr>
      <w:r>
        <w:rPr>
          <w:rFonts w:ascii="Calibri" w:hAnsi="Calibri"/>
          <w:b/>
          <w:color w:val="525866"/>
          <w:sz w:val="22"/>
        </w:rPr>
        <w:t xml:space="preserve">Core FFO beat and guidance raise: </w:t>
      </w:r>
      <w:r>
        <w:rPr>
          <w:rFonts w:ascii="Calibri" w:hAnsi="Calibri"/>
          <w:color w:val="525866"/>
          <w:sz w:val="22"/>
        </w:rPr>
        <w:t xml:space="preserve">DLR's core FFO of $2.13/share exceeded expectations and delivered 14% YoY growth. Full-year 2026 core FFO/share guidance raised to $8.15–$8.20, implying 10% constant-currency growth. Management expressed confidence in extending double-digit core FFO/share growth into 2027 and beyond. </w:t>
      </w:r>
      <w:r>
        <w:rPr>
          <w:rFonts w:ascii="Calibri" w:hAnsi="Calibri"/>
          <w:i/>
          <w:color w:val="525866"/>
          <w:sz w:val="22"/>
        </w:rPr>
        <w:t xml:space="preserve">IRM read-through: </w:t>
      </w:r>
      <w:r>
        <w:rPr>
          <w:rFonts w:ascii="Calibri" w:hAnsi="Calibri"/>
          <w:color w:val="525866"/>
          <w:sz w:val="22"/>
        </w:rPr>
        <w:t xml:space="preserve"> A peer beat-and-raise on the primary cash flow metric is a positive directional signal for IRM's own AFFO/share print.</w:t>
      </w:r>
    </w:p>
    <w:p>
      <w:pPr>
        <w:pStyle w:val="ListBullet"/>
        <w:ind w:left="360" w:hanging="360"/>
      </w:pPr>
      <w:r>
        <w:rPr>
          <w:rFonts w:ascii="Calibri" w:hAnsi="Calibri"/>
          <w:b/>
          <w:color w:val="525866"/>
          <w:sz w:val="22"/>
        </w:rPr>
        <w:t xml:space="preserve">Limitation: </w:t>
      </w:r>
      <w:r>
        <w:rPr>
          <w:rFonts w:ascii="Calibri" w:hAnsi="Calibri"/>
          <w:color w:val="525866"/>
          <w:sz w:val="22"/>
        </w:rPr>
        <w:t>DLR operates at significantly larger scale globally and has a sophisticated private capital strategy (including the Columbia Capital acquisition for $9B+ of fund commitments) that IRM does not replicate. DLR's outsized APAC renewal spreads (Singapore) may not translate to IRM's geographic footprint. DLR is also "not interested in going into hyperscale or undifferentiated colos" — its interconnection-focused model differs from IRM's broader mix.</w:t>
      </w:r>
    </w:p>
    <w:p>
      <w:pPr>
        <w:pStyle w:val="Heading2"/>
      </w:pPr>
      <w:r>
        <w:rPr>
          <w:rFonts w:ascii="Calibri" w:hAnsi="Calibri"/>
          <w:b/>
          <w:color w:val="3B4259"/>
          <w:sz w:val="28"/>
        </w:rPr>
        <w:t>Equinix (EQIX) — Q2 2026 Earnings (July 29, 2026) — PRIMARY READ-THROUGH</w:t>
      </w:r>
    </w:p>
    <w:p>
      <w:r>
        <w:rPr>
          <w:rFonts w:ascii="Calibri" w:hAnsi="Calibri"/>
          <w:b/>
          <w:color w:val="525866"/>
          <w:sz w:val="22"/>
        </w:rPr>
        <w:t xml:space="preserve">Relevance to IRM: </w:t>
      </w:r>
      <w:r>
        <w:rPr>
          <w:rFonts w:ascii="Calibri" w:hAnsi="Calibri"/>
          <w:color w:val="525866"/>
          <w:sz w:val="22"/>
        </w:rPr>
        <w:t>High. EQIX is the largest global data center REIT and its commentary on AI-driven demand, pricing, and the broader digital infrastructure cycle is the most authoritative sector read-through available. EQIX's business model (interconnection-dense colocation) differs from IRM's wholesale/hyperscale mix, but demand and pricing trends are broadly applicable.</w:t>
      </w:r>
    </w:p>
    <w:p>
      <w:pPr>
        <w:pStyle w:val="ListBullet"/>
        <w:ind w:left="360" w:hanging="360"/>
      </w:pPr>
      <w:r>
        <w:rPr>
          <w:rFonts w:ascii="Calibri" w:hAnsi="Calibri"/>
          <w:b/>
          <w:color w:val="525866"/>
          <w:sz w:val="22"/>
        </w:rPr>
        <w:t xml:space="preserve">Largest guidance raise in company history: </w:t>
      </w:r>
      <w:r>
        <w:rPr>
          <w:rFonts w:ascii="Calibri" w:hAnsi="Calibri"/>
          <w:color w:val="525866"/>
          <w:sz w:val="22"/>
        </w:rPr>
        <w:t xml:space="preserve">EQIX raised full-year 2026 revenue guidance by $100M (to 11–12% growth), Adjusted EBITDA guidance by $62M (to ~51% margin, +200bps YoY), and AFFO guidance by ~$50M (to 10–12% AFFO/share growth). Management described this as "the largest single guidance raise in the history of our company, reflecting broad-based, durable demand." </w:t>
      </w:r>
      <w:r>
        <w:rPr>
          <w:rFonts w:ascii="Calibri" w:hAnsi="Calibri"/>
          <w:i/>
          <w:color w:val="525866"/>
          <w:sz w:val="22"/>
        </w:rPr>
        <w:t xml:space="preserve">IRM read-through: </w:t>
      </w:r>
      <w:r>
        <w:rPr>
          <w:rFonts w:ascii="Calibri" w:hAnsi="Calibri"/>
          <w:color w:val="525866"/>
          <w:sz w:val="22"/>
        </w:rPr>
        <w:t xml:space="preserve"> The scale of EQIX's guidance raise confirms the demand environment is not just strong but accelerating. EQIX's 51% EBITDA margin target is a benchmark for what data center operating leverage can look like at scale — IRM's data center segment margins are already exceeding 50%.</w:t>
      </w:r>
    </w:p>
    <w:p>
      <w:pPr>
        <w:pStyle w:val="ListBullet"/>
        <w:ind w:left="360" w:hanging="360"/>
      </w:pPr>
      <w:r>
        <w:rPr>
          <w:rFonts w:ascii="Calibri" w:hAnsi="Calibri"/>
          <w:b/>
          <w:color w:val="525866"/>
          <w:sz w:val="22"/>
        </w:rPr>
        <w:t xml:space="preserve">Record bookings: 23% growth, second-highest volume ever: </w:t>
      </w:r>
      <w:r>
        <w:rPr>
          <w:rFonts w:ascii="Calibri" w:hAnsi="Calibri"/>
          <w:color w:val="525866"/>
          <w:sz w:val="22"/>
        </w:rPr>
        <w:t xml:space="preserve">Annualized gross bookings grew 23% to $424M, the second-highest volume on record. Total sales activity (including presales) grew over 30%. EQIX has already closed "over 45% of our bookings target for Q3" entering the back half of the year. Backlog sold-but-not-yet-installed is at a record level. </w:t>
      </w:r>
      <w:r>
        <w:rPr>
          <w:rFonts w:ascii="Calibri" w:hAnsi="Calibri"/>
          <w:i/>
          <w:color w:val="525866"/>
          <w:sz w:val="22"/>
        </w:rPr>
        <w:t xml:space="preserve">IRM read-through: </w:t>
      </w:r>
      <w:r>
        <w:rPr>
          <w:rFonts w:ascii="Calibri" w:hAnsi="Calibri"/>
          <w:color w:val="525866"/>
          <w:sz w:val="22"/>
        </w:rPr>
        <w:t xml:space="preserve"> EQIX's record bookings and strong Q3 pipeline visibility are consistent with IRM management's confidence in being "meaningfully above" 100MW for the full year. The 30%+ total sales activity growth is particularly relevant as it includes presales that will convert to revenue in future quarters.</w:t>
      </w:r>
    </w:p>
    <w:p>
      <w:pPr>
        <w:pStyle w:val="ListBullet"/>
        <w:ind w:left="360" w:hanging="360"/>
      </w:pPr>
      <w:r>
        <w:rPr>
          <w:rFonts w:ascii="Calibri" w:hAnsi="Calibri"/>
          <w:b/>
          <w:color w:val="525866"/>
          <w:sz w:val="22"/>
        </w:rPr>
        <w:t xml:space="preserve">AI demand accelerating across four distinct use cases: </w:t>
      </w:r>
      <w:r>
        <w:rPr>
          <w:rFonts w:ascii="Calibri" w:hAnsi="Calibri"/>
          <w:color w:val="525866"/>
          <w:sz w:val="22"/>
        </w:rPr>
        <w:t xml:space="preserve">EQIX identified four AI workload types driving demand: (1) Stack — enterprises running open models on private AI infrastructure to cut token costs; (2) Sovereign — data residency/compliance-driven AI deployments; (3) Batch — AI factories for model training and batch inferencing (driving liquid cooling demand); (4) Latency-sensitive/Agency — inference stacks requiring metro presence. The market is "materially stronger than it was a year ago" and "demand is clearly exceeding the assumptions in our prior long-term outlook." </w:t>
      </w:r>
      <w:r>
        <w:rPr>
          <w:rFonts w:ascii="Calibri" w:hAnsi="Calibri"/>
          <w:i/>
          <w:color w:val="525866"/>
          <w:sz w:val="22"/>
        </w:rPr>
        <w:t xml:space="preserve">IRM read-through: </w:t>
      </w:r>
      <w:r>
        <w:rPr>
          <w:rFonts w:ascii="Calibri" w:hAnsi="Calibri"/>
          <w:color w:val="525866"/>
          <w:sz w:val="22"/>
        </w:rPr>
        <w:t xml:space="preserve"> IRM's data center decommissioning (ALM) business is directly tied to the AI infrastructure buildout — as hyperscalers and enterprises upgrade to AI-capable infrastructure, they decommission legacy equipment, driving IRM's ALM revenue. EQIX's commentary on accelerating AI infrastructure investment is a direct positive for IRM's ALM pipeline.</w:t>
      </w:r>
    </w:p>
    <w:p>
      <w:pPr>
        <w:pStyle w:val="ListBullet"/>
        <w:ind w:left="360" w:hanging="360"/>
      </w:pPr>
      <w:r>
        <w:rPr>
          <w:rFonts w:ascii="Calibri" w:hAnsi="Calibri"/>
          <w:b/>
          <w:color w:val="525866"/>
          <w:sz w:val="22"/>
        </w:rPr>
        <w:t xml:space="preserve">Pricing remains "very firm"; record interconnection adds: </w:t>
      </w:r>
      <w:r>
        <w:rPr>
          <w:rFonts w:ascii="Calibri" w:hAnsi="Calibri"/>
          <w:color w:val="525866"/>
          <w:sz w:val="22"/>
        </w:rPr>
        <w:t xml:space="preserve">EQIX added a record 9,700 net interconnections in Q2, with interconnection revenue growing ~9%. Pricing is described as "very firm" with "meaningful mark-to-market opportunity" in highly constrained markets including Ashburn (Northern Virginia), Frankfurt, and Amsterdam. EQIX is "choosing not to necessarily pre-lease everything because the demand environment is so robust and pricing is so dynamic." </w:t>
      </w:r>
      <w:r>
        <w:rPr>
          <w:rFonts w:ascii="Calibri" w:hAnsi="Calibri"/>
          <w:i/>
          <w:color w:val="525866"/>
          <w:sz w:val="22"/>
        </w:rPr>
        <w:t xml:space="preserve">IRM read-through: </w:t>
      </w:r>
      <w:r>
        <w:rPr>
          <w:rFonts w:ascii="Calibri" w:hAnsi="Calibri"/>
          <w:color w:val="525866"/>
          <w:sz w:val="22"/>
        </w:rPr>
        <w:t xml:space="preserve"> IRM reported 12% cash renewal spreads in Q1 2026. EQIX's commentary on firm pricing and the decision to hold back some capacity to capture higher pricing is consistent with IRM management's statement that new lease pricing is up double digits vs. recent prior quarters.</w:t>
      </w:r>
    </w:p>
    <w:p>
      <w:pPr>
        <w:pStyle w:val="ListBullet"/>
        <w:ind w:left="360" w:hanging="360"/>
      </w:pPr>
      <w:r>
        <w:rPr>
          <w:rFonts w:ascii="Calibri" w:hAnsi="Calibri"/>
          <w:b/>
          <w:color w:val="525866"/>
          <w:sz w:val="22"/>
        </w:rPr>
        <w:t xml:space="preserve">Long-term CapEx commitment: $5–$7B annually through 2029: </w:t>
      </w:r>
      <w:r>
        <w:rPr>
          <w:rFonts w:ascii="Calibri" w:hAnsi="Calibri"/>
          <w:color w:val="525866"/>
          <w:sz w:val="22"/>
        </w:rPr>
        <w:t xml:space="preserve">EQIX plans to invest $5–$7B in CapEx annually from 2027 to 2029, with &gt;80% in top 25 global metros. 2026 CapEx guidance is $5–$6B. New capital is expected to deliver mid-20% cash-on-cash yields. Stabilized assets currently generate 27% cash-on-cash yields. </w:t>
      </w:r>
      <w:r>
        <w:rPr>
          <w:rFonts w:ascii="Calibri" w:hAnsi="Calibri"/>
          <w:i/>
          <w:color w:val="525866"/>
          <w:sz w:val="22"/>
        </w:rPr>
        <w:t xml:space="preserve">IRM read-through: </w:t>
      </w:r>
      <w:r>
        <w:rPr>
          <w:rFonts w:ascii="Calibri" w:hAnsi="Calibri"/>
          <w:color w:val="525866"/>
          <w:sz w:val="22"/>
        </w:rPr>
        <w:t xml:space="preserve"> The scale of EQIX's capital commitment confirms the data center sector is in a multi-year investment cycle. IRM's own CapEx is planned to be "slightly down" from last year — a more conservative posture that, combined with the pre-leased backlog, suggests IRM is generating strong returns on existing capital rather than chasing growth at any cost.</w:t>
      </w:r>
    </w:p>
    <w:p>
      <w:pPr>
        <w:pStyle w:val="ListBullet"/>
        <w:ind w:left="360" w:hanging="360"/>
      </w:pPr>
      <w:r>
        <w:rPr>
          <w:rFonts w:ascii="Calibri" w:hAnsi="Calibri"/>
          <w:b/>
          <w:color w:val="525866"/>
          <w:sz w:val="22"/>
        </w:rPr>
        <w:t xml:space="preserve">Limitation: </w:t>
      </w:r>
      <w:r>
        <w:rPr>
          <w:rFonts w:ascii="Calibri" w:hAnsi="Calibri"/>
          <w:color w:val="525866"/>
          <w:sz w:val="22"/>
        </w:rPr>
        <w:t>EQIX's business model is uniquely focused on interconnection density and ecosystem effects ("ecosystem approximately twice the size of the next largest provider"). Its typical data center is ~60MW — much smaller than hyperscale deployments. IRM's data center mix includes larger hyperscale facilities, which may experience different demand dynamics. EQIX's 51% EBITDA margin reflects its premium interconnection pricing and may not be directly comparable to IRM's blended segment margins.</w:t>
      </w:r>
    </w:p>
    <w:p>
      <w:pPr>
        <w:pStyle w:val="Heading2"/>
      </w:pPr>
      <w:r>
        <w:rPr>
          <w:rFonts w:ascii="Calibri" w:hAnsi="Calibri"/>
          <w:b/>
          <w:color w:val="3B4259"/>
          <w:sz w:val="28"/>
        </w:rPr>
        <w:t>American Tower / Coresite (AMT) — Q2 2026 Earnings (July 28, 2026) — SUPPLEMENTARY CONTEXT</w:t>
      </w:r>
    </w:p>
    <w:p>
      <w:r>
        <w:rPr>
          <w:rFonts w:ascii="Calibri" w:hAnsi="Calibri"/>
          <w:b/>
          <w:color w:val="525866"/>
          <w:sz w:val="22"/>
        </w:rPr>
        <w:t xml:space="preserve">Relevance to IRM: </w:t>
      </w:r>
      <w:r>
        <w:rPr>
          <w:rFonts w:ascii="Calibri" w:hAnsi="Calibri"/>
          <w:color w:val="525866"/>
          <w:sz w:val="22"/>
        </w:rPr>
        <w:t>Moderate. AMT's Coresite data center segment is a smaller, interconnection-focused colocation business that explicitly avoids hyperscale. Its commentary is useful for confirming broad demand trends and AI-driven infrastructure evolution, but is less directly comparable to IRM's wholesale/hyperscale data center mix than DLR or EQIX.</w:t>
      </w:r>
    </w:p>
    <w:p>
      <w:pPr>
        <w:pStyle w:val="ListBullet"/>
        <w:ind w:left="360" w:hanging="360"/>
      </w:pPr>
      <w:r>
        <w:rPr>
          <w:rFonts w:ascii="Calibri" w:hAnsi="Calibri"/>
          <w:b/>
          <w:color w:val="525866"/>
          <w:sz w:val="22"/>
        </w:rPr>
        <w:t xml:space="preserve">Coresite delivered record leasing for the third consecutive quarter: </w:t>
      </w:r>
      <w:r>
        <w:rPr>
          <w:rFonts w:ascii="Calibri" w:hAnsi="Calibri"/>
          <w:color w:val="525866"/>
          <w:sz w:val="22"/>
        </w:rPr>
        <w:t xml:space="preserve">Coresite achieved "another record leasing performance" in Q2 2026, adding "more new business this quarter than we did for the entire year of 2021." Double-digit revenue growth for the fifth consecutive quarter. AMT raised its full-year data center revenue growth outlook to ~15% YoY, a "significant acceleration" from the prior 13% outlook. </w:t>
      </w:r>
      <w:r>
        <w:rPr>
          <w:rFonts w:ascii="Calibri" w:hAnsi="Calibri"/>
          <w:i/>
          <w:color w:val="525866"/>
          <w:sz w:val="22"/>
        </w:rPr>
        <w:t xml:space="preserve">IRM read-through: </w:t>
      </w:r>
      <w:r>
        <w:rPr>
          <w:rFonts w:ascii="Calibri" w:hAnsi="Calibri"/>
          <w:color w:val="525866"/>
          <w:sz w:val="22"/>
        </w:rPr>
        <w:t xml:space="preserve"> Confirms the broad-based demand environment; the acceleration from 13% to 15% growth guidance is consistent with the demand trajectory IRM described at Q1 earnings.</w:t>
      </w:r>
    </w:p>
    <w:p>
      <w:pPr>
        <w:pStyle w:val="ListBullet"/>
        <w:ind w:left="360" w:hanging="360"/>
      </w:pPr>
      <w:r>
        <w:rPr>
          <w:rFonts w:ascii="Calibri" w:hAnsi="Calibri"/>
          <w:b/>
          <w:color w:val="525866"/>
          <w:sz w:val="22"/>
        </w:rPr>
        <w:t xml:space="preserve">AI and cloud driving "evolution in how customers architect digital infrastructure": </w:t>
      </w:r>
      <w:r>
        <w:rPr>
          <w:rFonts w:ascii="Calibri" w:hAnsi="Calibri"/>
          <w:color w:val="525866"/>
          <w:sz w:val="22"/>
        </w:rPr>
        <w:t xml:space="preserve">AMT noted that "nine of the top ten AI companies and three of the top five neo clouds are deployed within our facilities" and that customers are "moving beyond traditional colocation use cases, establishing private on-ramps that enable the direct transfer of massive data volumes between cloud and AI environments." Interconnection activity saw a "big inflection up." </w:t>
      </w:r>
      <w:r>
        <w:rPr>
          <w:rFonts w:ascii="Calibri" w:hAnsi="Calibri"/>
          <w:i/>
          <w:color w:val="525866"/>
          <w:sz w:val="22"/>
        </w:rPr>
        <w:t xml:space="preserve">IRM read-through: </w:t>
      </w:r>
      <w:r>
        <w:rPr>
          <w:rFonts w:ascii="Calibri" w:hAnsi="Calibri"/>
          <w:color w:val="525866"/>
          <w:sz w:val="22"/>
        </w:rPr>
        <w:t xml:space="preserve"> The shift to AI-native infrastructure architectures is driving both new data center demand (positive for IRM's leasing) and legacy infrastructure decommissioning (positive for IRM's ALM business).</w:t>
      </w:r>
    </w:p>
    <w:p>
      <w:pPr>
        <w:pStyle w:val="ListBullet"/>
        <w:ind w:left="360" w:hanging="360"/>
      </w:pPr>
      <w:r>
        <w:rPr>
          <w:rFonts w:ascii="Calibri" w:hAnsi="Calibri"/>
          <w:b/>
          <w:color w:val="525866"/>
          <w:sz w:val="22"/>
        </w:rPr>
        <w:t xml:space="preserve">Pricing discipline: not pre-leasing everything due to "robust demand and dynamic pricing": </w:t>
      </w:r>
      <w:r>
        <w:rPr>
          <w:rFonts w:ascii="Calibri" w:hAnsi="Calibri"/>
          <w:color w:val="525866"/>
          <w:sz w:val="22"/>
        </w:rPr>
        <w:t xml:space="preserve">AMT/Coresite is "choosing not to necessarily pre-lease everything because the demand environment is so robust and pricing is so dynamic. We don't want to end up underpricing it." New data center investments are underwriting "mid-teens or better stabilized yields." </w:t>
      </w:r>
      <w:r>
        <w:rPr>
          <w:rFonts w:ascii="Calibri" w:hAnsi="Calibri"/>
          <w:i/>
          <w:color w:val="525866"/>
          <w:sz w:val="22"/>
        </w:rPr>
        <w:t xml:space="preserve">IRM read-through: </w:t>
      </w:r>
      <w:r>
        <w:rPr>
          <w:rFonts w:ascii="Calibri" w:hAnsi="Calibri"/>
          <w:color w:val="525866"/>
          <w:sz w:val="22"/>
        </w:rPr>
        <w:t xml:space="preserve"> Consistent with IRM's own commentary on double-digit new lease pricing spreads. The sector-wide pricing discipline is a positive for IRM's ability to sustain strong renewal and new lease economics.</w:t>
      </w:r>
    </w:p>
    <w:p>
      <w:pPr>
        <w:pStyle w:val="ListBullet"/>
        <w:ind w:left="360" w:hanging="360"/>
      </w:pPr>
      <w:r>
        <w:rPr>
          <w:rFonts w:ascii="Calibri" w:hAnsi="Calibri"/>
          <w:b/>
          <w:color w:val="525866"/>
          <w:sz w:val="22"/>
        </w:rPr>
        <w:t xml:space="preserve">Limitation: </w:t>
      </w:r>
      <w:r>
        <w:rPr>
          <w:rFonts w:ascii="Calibri" w:hAnsi="Calibri"/>
          <w:color w:val="525866"/>
          <w:sz w:val="22"/>
        </w:rPr>
        <w:t>Coresite is explicitly "not interested in going into hyperscale or undifferentiated colos." Its interconnection-focused model and smaller facility sizes (~60MW typical) differ significantly from IRM's wholesale data center strategy. AMT is primarily a tower REIT; Coresite is a growing but still secondary segment. The read-through is directionally useful but not a direct operational comp.</w:t>
      </w:r>
    </w:p>
    <w:p>
      <w:pPr>
        <w:pStyle w:val="Heading2"/>
      </w:pPr>
      <w:r>
        <w:rPr>
          <w:rFonts w:ascii="Calibri" w:hAnsi="Calibri"/>
          <w:b/>
          <w:color w:val="3B4259"/>
          <w:sz w:val="28"/>
        </w:rPr>
        <w:t>Crown Castle (CCI) — Q2 2026 Earnings (July 22, 2026) — LIMITED / TANGENTIAL READ-THROUGH</w:t>
      </w:r>
    </w:p>
    <w:p>
      <w:r>
        <w:rPr>
          <w:rFonts w:ascii="Calibri" w:hAnsi="Calibri"/>
          <w:b/>
          <w:color w:val="525866"/>
          <w:sz w:val="22"/>
        </w:rPr>
        <w:t xml:space="preserve">Relevance to IRM: </w:t>
      </w:r>
      <w:r>
        <w:rPr>
          <w:rFonts w:ascii="Calibri" w:hAnsi="Calibri"/>
          <w:color w:val="525866"/>
          <w:sz w:val="22"/>
        </w:rPr>
        <w:t>Low-to-moderate. CCI is primarily a tower operator with no meaningful data center business. Its Q2 2026 commentary on edge compute is nascent and not directly comparable to IRM's data center operations. However, CCI's observation that "there was something like a 15-year backlog of data center demand versus what data center companies could currently actually deliver" is a useful macro data point confirming the structural supply-demand imbalance that benefits IRM.</w:t>
      </w:r>
    </w:p>
    <w:p>
      <w:pPr>
        <w:pStyle w:val="ListBullet"/>
        <w:ind w:left="360" w:hanging="360"/>
      </w:pPr>
      <w:r>
        <w:rPr>
          <w:rFonts w:ascii="Calibri" w:hAnsi="Calibri"/>
          <w:b/>
          <w:color w:val="525866"/>
          <w:sz w:val="22"/>
        </w:rPr>
        <w:t xml:space="preserve">"15-year backlog of data center demand": </w:t>
      </w:r>
      <w:r>
        <w:rPr>
          <w:rFonts w:ascii="Calibri" w:hAnsi="Calibri"/>
          <w:color w:val="525866"/>
          <w:sz w:val="22"/>
        </w:rPr>
        <w:t xml:space="preserve">CCI's CEO cited an industry estimate of a 15-year backlog of data center demand vs. current delivery capacity, noting that "many large data center deployments face multi-year construction and power delivery delays." </w:t>
      </w:r>
      <w:r>
        <w:rPr>
          <w:rFonts w:ascii="Calibri" w:hAnsi="Calibri"/>
          <w:i/>
          <w:color w:val="525866"/>
          <w:sz w:val="22"/>
        </w:rPr>
        <w:t xml:space="preserve">IRM read-through: </w:t>
      </w:r>
      <w:r>
        <w:rPr>
          <w:rFonts w:ascii="Calibri" w:hAnsi="Calibri"/>
          <w:color w:val="525866"/>
          <w:sz w:val="22"/>
        </w:rPr>
        <w:t xml:space="preserve"> Confirms the structural supply-demand imbalance that underpins IRM's data center pricing power and pre-leased development strategy. The power delivery constraint is particularly relevant as IRM has secured power for its 400MW pipeline.</w:t>
      </w:r>
    </w:p>
    <w:p>
      <w:pPr>
        <w:pStyle w:val="ListBullet"/>
        <w:ind w:left="360" w:hanging="360"/>
      </w:pPr>
      <w:r>
        <w:rPr>
          <w:rFonts w:ascii="Calibri" w:hAnsi="Calibri"/>
          <w:b/>
          <w:color w:val="525866"/>
          <w:sz w:val="22"/>
        </w:rPr>
        <w:t xml:space="preserve">Edge compute demand is nascent but growing: </w:t>
      </w:r>
      <w:r>
        <w:rPr>
          <w:rFonts w:ascii="Calibri" w:hAnsi="Calibri"/>
          <w:color w:val="525866"/>
          <w:sz w:val="22"/>
        </w:rPr>
        <w:t xml:space="preserve">CCI is in early-stage trials with edge data center providers, observing "increasing interest" in distributed compute deployments for inference workloads, cybersecurity, and real-time data processing. Still described as "early days" and a "trial." </w:t>
      </w:r>
      <w:r>
        <w:rPr>
          <w:rFonts w:ascii="Calibri" w:hAnsi="Calibri"/>
          <w:i/>
          <w:color w:val="525866"/>
          <w:sz w:val="22"/>
        </w:rPr>
        <w:t xml:space="preserve">IRM read-through: </w:t>
      </w:r>
      <w:r>
        <w:rPr>
          <w:rFonts w:ascii="Calibri" w:hAnsi="Calibri"/>
          <w:color w:val="525866"/>
          <w:sz w:val="22"/>
        </w:rPr>
        <w:t xml:space="preserve"> Limited direct read-through. IRM's data centers are large-scale facilities, not edge deployments. However, the growth of inference workloads at the edge could eventually drive demand for centralized data aggregation and processing at IRM-scale facilities.</w:t>
      </w:r>
    </w:p>
    <w:p>
      <w:pPr>
        <w:pStyle w:val="ListBullet"/>
        <w:ind w:left="360" w:hanging="360"/>
      </w:pPr>
      <w:r>
        <w:rPr>
          <w:rFonts w:ascii="Calibri" w:hAnsi="Calibri"/>
          <w:b/>
          <w:color w:val="525866"/>
          <w:sz w:val="22"/>
        </w:rPr>
        <w:t xml:space="preserve">Limitation: </w:t>
      </w:r>
      <w:r>
        <w:rPr>
          <w:rFonts w:ascii="Calibri" w:hAnsi="Calibri"/>
          <w:color w:val="525866"/>
          <w:sz w:val="22"/>
        </w:rPr>
        <w:t>CCI has no meaningful data center revenue and its edge compute initiative is in trial phase. The read-through is primarily useful as a macro demand confirmation, not an operational comp.</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Relevance</w:t>
            </w:r>
          </w:p>
        </w:tc>
        <w:tc>
          <w:tcPr>
            <w:tcW w:type="dxa" w:w="1728"/>
            <w:shd w:val="clear" w:color="auto" w:fill="3B4259"/>
          </w:tcPr>
          <w:p>
            <w:r>
              <w:rPr>
                <w:rFonts w:ascii="Calibri" w:hAnsi="Calibri"/>
                <w:b/>
                <w:color w:val="FFFFFF"/>
                <w:sz w:val="22"/>
              </w:rPr>
              <w:t>Key Read-Through for IRM</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DLR</w:t>
            </w:r>
          </w:p>
        </w:tc>
        <w:tc>
          <w:tcPr>
            <w:tcW w:type="dxa" w:w="1728"/>
          </w:tcPr>
          <w:p>
            <w:r>
              <w:rPr>
                <w:rFonts w:ascii="Calibri" w:hAnsi="Calibri"/>
                <w:sz w:val="22"/>
              </w:rPr>
              <w:t>Jul 23, 2026</w:t>
            </w:r>
          </w:p>
        </w:tc>
        <w:tc>
          <w:tcPr>
            <w:tcW w:type="dxa" w:w="1728"/>
          </w:tcPr>
          <w:p>
            <w:r>
              <w:rPr>
                <w:rFonts w:ascii="Calibri" w:hAnsi="Calibri"/>
                <w:sz w:val="22"/>
              </w:rPr>
              <w:t>High (Primary)</w:t>
            </w:r>
          </w:p>
        </w:tc>
        <w:tc>
          <w:tcPr>
            <w:tcW w:type="dxa" w:w="1728"/>
          </w:tcPr>
          <w:p>
            <w:r>
              <w:rPr>
                <w:rFonts w:ascii="Calibri" w:hAnsi="Calibri"/>
                <w:sz w:val="22"/>
              </w:rPr>
              <w:t>Record $1.9B backlog; 25%+ renewal spreads; 100% pipeline growth in H1; Northern Virginia supply-constrained; core FFO beat and guidance raise</w:t>
            </w:r>
          </w:p>
        </w:tc>
        <w:tc>
          <w:tcPr>
            <w:tcW w:type="dxa" w:w="1728"/>
          </w:tcPr>
          <w:p>
            <w:r>
              <w:rPr>
                <w:rFonts w:ascii="Calibri" w:hAnsi="Calibri"/>
                <w:b/>
                <w:color w:val="30A46C"/>
                <w:sz w:val="22"/>
              </w:rPr>
              <w:t>Positive</w:t>
            </w:r>
          </w:p>
        </w:tc>
      </w:tr>
      <w:tr>
        <w:tc>
          <w:tcPr>
            <w:tcW w:type="dxa" w:w="1728"/>
          </w:tcPr>
          <w:p>
            <w:r>
              <w:rPr>
                <w:rFonts w:ascii="Calibri" w:hAnsi="Calibri"/>
                <w:sz w:val="22"/>
              </w:rPr>
              <w:t>EQIX</w:t>
            </w:r>
          </w:p>
        </w:tc>
        <w:tc>
          <w:tcPr>
            <w:tcW w:type="dxa" w:w="1728"/>
          </w:tcPr>
          <w:p>
            <w:r>
              <w:rPr>
                <w:rFonts w:ascii="Calibri" w:hAnsi="Calibri"/>
                <w:sz w:val="22"/>
              </w:rPr>
              <w:t>Jul 29, 2026</w:t>
            </w:r>
          </w:p>
        </w:tc>
        <w:tc>
          <w:tcPr>
            <w:tcW w:type="dxa" w:w="1728"/>
          </w:tcPr>
          <w:p>
            <w:r>
              <w:rPr>
                <w:rFonts w:ascii="Calibri" w:hAnsi="Calibri"/>
                <w:sz w:val="22"/>
              </w:rPr>
              <w:t>High (Primary)</w:t>
            </w:r>
          </w:p>
        </w:tc>
        <w:tc>
          <w:tcPr>
            <w:tcW w:type="dxa" w:w="1728"/>
          </w:tcPr>
          <w:p>
            <w:r>
              <w:rPr>
                <w:rFonts w:ascii="Calibri" w:hAnsi="Calibri"/>
                <w:sz w:val="22"/>
              </w:rPr>
              <w:t>Largest guidance raise in company history; 23% bookings growth; AI demand "materially stronger than a year ago"; pricing "very firm"; $5–$7B annual CapEx through 2029</w:t>
            </w:r>
          </w:p>
        </w:tc>
        <w:tc>
          <w:tcPr>
            <w:tcW w:type="dxa" w:w="1728"/>
          </w:tcPr>
          <w:p>
            <w:r>
              <w:rPr>
                <w:rFonts w:ascii="Calibri" w:hAnsi="Calibri"/>
                <w:b/>
                <w:color w:val="30A46C"/>
                <w:sz w:val="22"/>
              </w:rPr>
              <w:t>Positive</w:t>
            </w:r>
          </w:p>
        </w:tc>
      </w:tr>
      <w:tr>
        <w:tc>
          <w:tcPr>
            <w:tcW w:type="dxa" w:w="1728"/>
          </w:tcPr>
          <w:p>
            <w:r>
              <w:rPr>
                <w:rFonts w:ascii="Calibri" w:hAnsi="Calibri"/>
                <w:sz w:val="22"/>
              </w:rPr>
              <w:t>AMT / Coresite</w:t>
            </w:r>
          </w:p>
        </w:tc>
        <w:tc>
          <w:tcPr>
            <w:tcW w:type="dxa" w:w="1728"/>
          </w:tcPr>
          <w:p>
            <w:r>
              <w:rPr>
                <w:rFonts w:ascii="Calibri" w:hAnsi="Calibri"/>
                <w:sz w:val="22"/>
              </w:rPr>
              <w:t>Jul 28, 2026</w:t>
            </w:r>
          </w:p>
        </w:tc>
        <w:tc>
          <w:tcPr>
            <w:tcW w:type="dxa" w:w="1728"/>
          </w:tcPr>
          <w:p>
            <w:r>
              <w:rPr>
                <w:rFonts w:ascii="Calibri" w:hAnsi="Calibri"/>
                <w:sz w:val="22"/>
              </w:rPr>
              <w:t>Moderate (Supplementary)</w:t>
            </w:r>
          </w:p>
        </w:tc>
        <w:tc>
          <w:tcPr>
            <w:tcW w:type="dxa" w:w="1728"/>
          </w:tcPr>
          <w:p>
            <w:r>
              <w:rPr>
                <w:rFonts w:ascii="Calibri" w:hAnsi="Calibri"/>
                <w:sz w:val="22"/>
              </w:rPr>
              <w:t>Third consecutive record leasing quarter; data center revenue growth guidance raised to 15%; AI driving infrastructure evolution; pricing discipline maintained</w:t>
            </w:r>
          </w:p>
        </w:tc>
        <w:tc>
          <w:tcPr>
            <w:tcW w:type="dxa" w:w="1728"/>
          </w:tcPr>
          <w:p>
            <w:r>
              <w:rPr>
                <w:rFonts w:ascii="Calibri" w:hAnsi="Calibri"/>
                <w:b/>
                <w:color w:val="30A46C"/>
                <w:sz w:val="22"/>
              </w:rPr>
              <w:t>Positive</w:t>
            </w:r>
          </w:p>
        </w:tc>
      </w:tr>
      <w:tr>
        <w:tc>
          <w:tcPr>
            <w:tcW w:type="dxa" w:w="1728"/>
          </w:tcPr>
          <w:p>
            <w:r>
              <w:rPr>
                <w:rFonts w:ascii="Calibri" w:hAnsi="Calibri"/>
                <w:sz w:val="22"/>
              </w:rPr>
              <w:t>CCI</w:t>
            </w:r>
          </w:p>
        </w:tc>
        <w:tc>
          <w:tcPr>
            <w:tcW w:type="dxa" w:w="1728"/>
          </w:tcPr>
          <w:p>
            <w:r>
              <w:rPr>
                <w:rFonts w:ascii="Calibri" w:hAnsi="Calibri"/>
                <w:sz w:val="22"/>
              </w:rPr>
              <w:t>Jul 22, 2026</w:t>
            </w:r>
          </w:p>
        </w:tc>
        <w:tc>
          <w:tcPr>
            <w:tcW w:type="dxa" w:w="1728"/>
          </w:tcPr>
          <w:p>
            <w:r>
              <w:rPr>
                <w:rFonts w:ascii="Calibri" w:hAnsi="Calibri"/>
                <w:sz w:val="22"/>
              </w:rPr>
              <w:t>Low (Tangential)</w:t>
            </w:r>
          </w:p>
        </w:tc>
        <w:tc>
          <w:tcPr>
            <w:tcW w:type="dxa" w:w="1728"/>
          </w:tcPr>
          <w:p>
            <w:r>
              <w:rPr>
                <w:rFonts w:ascii="Calibri" w:hAnsi="Calibri"/>
                <w:sz w:val="22"/>
              </w:rPr>
              <w:t>"15-year backlog" of data center demand; power delivery constraints; edge compute nascent but growing</w:t>
            </w:r>
          </w:p>
        </w:tc>
        <w:tc>
          <w:tcPr>
            <w:tcW w:type="dxa" w:w="1728"/>
          </w:tcPr>
          <w:p>
            <w:r>
              <w:rPr>
                <w:rFonts w:ascii="Calibri" w:hAnsi="Calibri"/>
                <w:b/>
                <w:color w:val="30A46C"/>
                <w:sz w:val="22"/>
              </w:rPr>
              <w:t>Positive (macro)</w:t>
            </w:r>
          </w:p>
        </w:tc>
      </w:tr>
    </w:tbl>
    <w:p>
      <w:r>
        <w:rPr>
          <w:rFonts w:ascii="Calibri" w:hAnsi="Calibri"/>
          <w:color w:val="525866"/>
          <w:sz w:val="22"/>
        </w:rPr>
        <w:t>Sources: DLR Q2 2026 Earnings Call Transcript (July 23, 2026); EQIX Q2 2026 Earnings Call Transcript (July 29, 2026); AMT Q2 2026 Earnings Call Transcript (July 28, 2026); CCI Q2 2026 Earnings Call Transcript (July 22, 2026). All commentary is from Q2 2026 earnings calls covering the April–June 2026 reporting period, consistent with IRM's upcoming Q2 2026 print. No prior-quarter commentary is included.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