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t-earnings-predictions--2026-08-04"/>
    <w:p>
      <w:pPr>
        <w:pStyle w:val="Heading1"/>
      </w:pPr>
      <w:r>
        <w:t xml:space="preserve">IT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~$3.95 vs. cons $3.77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~$1.68B vs. cons $1.70B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Contract Value (CV) growth YoY, FX-neutral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~2.0% vs. cons/expected acceleration to ~3.0%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~$6.43B vs. cons $6.50B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~$13.45 vs. cons $13.65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CV growth reacceleration trajectory (qualitative H2'26/Fed-lap commentary)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~reiterated 'accelerate through 2026' vs. cons skepticism after 3 straight qtrs of deceleration 1.8%-&gt;-0.1%-&gt;0.4%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-9.0% (FOLLOW-THROUGH)</w:t>
            </w:r>
          </w:p>
        </w:tc>
        <w:tc>
          <w:tcPr/>
          <w:p>
            <w:pPr>
              <w:pStyle w:val="Compact"/>
            </w:pPr>
            <w:r>
              <w:t xml:space="preserve">Gartner has beaten headline EPS every quarter for a year yet the stock cratered -28% (Aug'25) and -21% (Feb'26) both times because CV growth/forward guidance disappointed; GTS CV has actually decelerated the last 3 quarters (1.8%-&gt;-0.1%-&gt;0.4%) despite management's repeated 'acceleration' promise and the explicit claim that the Fed headwind laps in Q2. If Q2 CV doesn't show real reacceleration, sell-side will trim FY26/FY27 CV, revenue and EPS-CAGR (12%+) models further in the days after the print (as happened post-Aug'25 and post-Feb'26, where the stock kept falling for ~1 week after the initial gap down before stabilizing), producing continued downside beyond the day-1 reaction even though the reported EPS itself beats.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2026-08-04T00:14:04Z</dcterms:created>
  <dcterms:modified xsi:type="dcterms:W3CDTF">2026-08-04T00:14:04Z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