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f845a2834b785ad459136df5de63b9e8c865a5"/>
    <w:p>
      <w:pPr>
        <w:pStyle w:val="Heading1"/>
      </w:pPr>
      <w:r>
        <w:t xml:space="preserve">Gartner, Inc. (NYSE: IT)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Tomorrow, August 4, 2026 (before market open) |</w:t>
      </w:r>
      <w:r>
        <w:t xml:space="preserve"> </w:t>
      </w:r>
      <w:r>
        <w:rPr>
          <w:b/>
          <w:bCs/>
        </w:rPr>
        <w:t xml:space="preserve">Event:</w:t>
      </w:r>
      <w:r>
        <w:t xml:space="preserve"> </w:t>
      </w:r>
      <w:r>
        <w:t xml:space="preserve">2026Q2 Earnings Call</w:t>
      </w:r>
    </w:p>
    <w:bookmarkStart w:id="9" w:name="Xe08646facb170919254f97c195d519ab4329d3d"/>
    <w:p>
      <w:pPr>
        <w:pStyle w:val="Heading2"/>
      </w:pPr>
      <w:r>
        <w:t xml:space="preserve">The setup: a stock in freefall looking for a bottom</w:t>
      </w:r>
    </w:p>
    <w:p>
      <w:pPr>
        <w:pStyle w:val="FirstParagraph"/>
      </w:pPr>
      <w:r>
        <w:t xml:space="preserve">This is not a routine earnings print. Gartner shares have been cut roughly in half over the past year, and the stock is trading around $151 heading into the report — down from levels above $400 in 2025.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2026-08-04T00:14:04Z</dcterms:created>
  <dcterms:modified xsi:type="dcterms:W3CDTF">2026-08-04T00:14:04Z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