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gartner-nyse-it-q2-2026-earnings-preview"/>
    <w:p>
      <w:pPr>
        <w:pStyle w:val="Heading1"/>
      </w:pPr>
      <w:r>
        <w:t xml:space="preserve">Gartner (NYSE: IT) Q2 2026 Earnings Preview</w:t>
      </w:r>
    </w:p>
    <w:p>
      <w:pPr>
        <w:pStyle w:val="BlockText"/>
      </w:pPr>
      <w:r>
        <w:rPr>
          <w:b/>
          <w:bCs/>
        </w:rPr>
        <w:t xml:space="preserve">Timing correction:</w:t>
      </w:r>
      <w:r>
        <w:t xml:space="preserve"> </w:t>
      </w:r>
      <w:r>
        <w:t xml:space="preserve">Gartner is scheduled to report</w:t>
      </w:r>
      <w:r>
        <w:t xml:space="preserve"> </w:t>
      </w:r>
      <w:r>
        <w:rPr>
          <w:b/>
          <w:bCs/>
        </w:rPr>
        <w:t xml:space="preserve">second-quarter 2026 results before the market opens today, Tuesday, August 4, 2026</w:t>
      </w:r>
      <w:r>
        <w:t xml:space="preserve">, followed by an</w:t>
      </w:r>
      <w:r>
        <w:t xml:space="preserve"> </w:t>
      </w:r>
      <w:r>
        <w:rPr>
          <w:b/>
          <w:bCs/>
        </w:rPr>
        <w:t xml:space="preserve">8:00 a.m. ET</w:t>
      </w:r>
      <w:r>
        <w:t xml:space="preserve"> </w:t>
      </w:r>
      <w:r>
        <w:t xml:space="preserve">earnings call—not tomorrow. (</w:t>
      </w:r>
      <w:hyperlink r:id="rId9">
        <w:r>
          <w:rPr>
            <w:rStyle w:val="Hyperlink"/>
          </w:rPr>
          <w:t xml:space="preserve">investor.gartner.com</w:t>
        </w:r>
      </w:hyperlink>
      <w:r>
        <w:t xml:space="preserve">)</w:t>
      </w:r>
    </w:p>
    <w:bookmarkStart w:id="11" w:name="X7f5c8eb38e266892faff579083c33085e6de57d"/>
    <w:p>
      <w:pPr>
        <w:pStyle w:val="Heading2"/>
      </w:pPr>
      <w:r>
        <w:t xml:space="preserve">Investment setup: this is a contract-value and credibility quarter</w:t>
      </w:r>
    </w:p>
    <w:p>
      <w:pPr>
        <w:pStyle w:val="FirstParagraph"/>
      </w:pPr>
      <w:r>
        <w:t xml:space="preserve">Gartner enters Q2 with a straightforward, but consequential, burden of proof:</w:t>
      </w:r>
      <w:r>
        <w:t xml:space="preserve"> </w:t>
      </w:r>
      <w:r>
        <w:rPr>
          <w:b/>
          <w:bCs/>
        </w:rPr>
        <w:t xml:space="preserve">demonstrate that contract-value (CV) growth is reaccelerating as management has promised</w:t>
      </w:r>
      <w:r>
        <w:t xml:space="preserve">, rather than merely benefiting from easier comparisons and buybacks.</w:t>
      </w:r>
    </w:p>
    <w:p>
      <w:pPr>
        <w:pStyle w:val="BodyText"/>
      </w:pPr>
      <w:r>
        <w:t xml:space="preserve">The company’s Q1 report was operationally solid—adjusted EPS, EBITDA, and free cash flow exceeded expectations—but its leading indicator remained muted. Total CV grew just</w:t>
      </w:r>
      <w:r>
        <w:t xml:space="preserve"> </w:t>
      </w:r>
      <w:r>
        <w:rPr>
          <w:b/>
          <w:bCs/>
        </w:rPr>
        <w:t xml:space="preserve">1.0% FX-neutral</w:t>
      </w:r>
      <w:r>
        <w:t xml:space="preserve">, with Global Technology Sales (GTS) CV up</w:t>
      </w:r>
      <w:r>
        <w:t xml:space="preserve"> </w:t>
      </w:r>
      <w:r>
        <w:rPr>
          <w:b/>
          <w:bCs/>
        </w:rPr>
        <w:t xml:space="preserve">0.4%</w:t>
      </w:r>
      <w:r>
        <w:t xml:space="preserve"> </w:t>
      </w:r>
      <w:r>
        <w:t xml:space="preserve">and Global Business Sales (GBS) CV up</w:t>
      </w:r>
      <w:r>
        <w:t xml:space="preserve"> </w:t>
      </w:r>
      <w:r>
        <w:rPr>
          <w:b/>
          <w:bCs/>
        </w:rPr>
        <w:t xml:space="preserve">3.2%</w:t>
      </w:r>
      <w:r>
        <w:t xml:space="preserve">. Excluding U.S. federal-government business, CV grew</w:t>
      </w:r>
      <w:r>
        <w:t xml:space="preserve"> </w:t>
      </w:r>
      <w:r>
        <w:rPr>
          <w:b/>
          <w:bCs/>
        </w:rPr>
        <w:t xml:space="preserve">3.5%</w:t>
      </w:r>
      <w:r>
        <w:t xml:space="preserve">. (</w:t>
      </w:r>
      <w:hyperlink r:id="rId10">
        <w:r>
          <w:rPr>
            <w:rStyle w:val="Hyperlink"/>
          </w:rPr>
          <w:t xml:space="preserve">investor.gartner.com</w:t>
        </w:r>
      </w:hyperlink>
      <w:r>
        <w:t xml:space="preserve">)</w:t>
      </w:r>
    </w:p>
    <w:p>
      <w:pPr>
        <w:pStyle w:val="BodyText"/>
      </w:pPr>
      <w:r>
        <w:t xml:space="preserve">For this quarter, the debate is less about an EPS beat than about whether Gartner can substantiate its narrative that:</w:t>
      </w:r>
    </w:p>
    <w:p>
      <w:pPr>
        <w:pStyle w:val="Compact"/>
        <w:numPr>
          <w:ilvl w:val="0"/>
          <w:numId w:val="1001"/>
        </w:numPr>
      </w:pPr>
      <w:r>
        <w:t xml:space="preserve">delayed client decisions from March converted in April;</w:t>
      </w:r>
    </w:p>
    <w:p>
      <w:pPr>
        <w:pStyle w:val="Compact"/>
        <w:numPr>
          <w:ilvl w:val="0"/>
          <w:numId w:val="1001"/>
        </w:numPr>
      </w:pPr>
      <w:r>
        <w:t xml:space="preserve">U.S. federal pressure is now largely anniversaried;</w:t>
      </w:r>
    </w:p>
    <w:p>
      <w:pPr>
        <w:pStyle w:val="Compact"/>
        <w:numPr>
          <w:ilvl w:val="0"/>
          <w:numId w:val="1001"/>
        </w:numPr>
      </w:pPr>
      <w:r>
        <w:t xml:space="preserve">broader commercial demand is stabilizing; and</w:t>
      </w:r>
    </w:p>
    <w:p>
      <w:pPr>
        <w:pStyle w:val="Compact"/>
        <w:numPr>
          <w:ilvl w:val="0"/>
          <w:numId w:val="1001"/>
        </w:numPr>
      </w:pPr>
      <w:r>
        <w:t xml:space="preserve">AI is an opportunity to deepen engagement—not a substitute for Gartner’s research and advisory model.</w:t>
      </w:r>
    </w:p>
    <w:bookmarkEnd w:id="11"/>
    <w:bookmarkStart w:id="12" w:name="what-management-has-guided-to"/>
    <w:p>
      <w:pPr>
        <w:pStyle w:val="Heading2"/>
      </w:pPr>
      <w:r>
        <w:t xml:space="preserve">What management has guided to</w:t>
      </w:r>
    </w:p>
    <w:p>
      <w:pPr>
        <w:pStyle w:val="FirstParagraph"/>
      </w:pPr>
      <w:r>
        <w:t xml:space="preserve">At Q1, Gartner set a relatively clear profitability marker for Q2 and raised its full-year outlook: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Management outlook</w:t>
            </w:r>
          </w:p>
        </w:tc>
      </w:tr>
      <w:tr>
        <w:tc>
          <w:tcPr/>
          <w:p>
            <w:pPr>
              <w:pStyle w:val="Compact"/>
            </w:pPr>
            <w:r>
              <w:rPr>
                <w:b/>
                <w:bCs/>
              </w:rPr>
              <w:t xml:space="preserve">Q2 adjusted EBITDA</w:t>
            </w:r>
          </w:p>
        </w:tc>
        <w:tc>
          <w:tcPr/>
          <w:p>
            <w:pPr>
              <w:pStyle w:val="Compact"/>
              <w:jc w:val="right"/>
            </w:pPr>
            <w:r>
              <w:rPr>
                <w:b/>
                <w:bCs/>
              </w:rPr>
              <w:t xml:space="preserve">At least $425 million</w:t>
            </w:r>
          </w:p>
        </w:tc>
      </w:tr>
      <w:tr>
        <w:tc>
          <w:tcPr/>
          <w:p>
            <w:pPr>
              <w:pStyle w:val="Compact"/>
            </w:pPr>
            <w:r>
              <w:rPr>
                <w:b/>
                <w:bCs/>
              </w:rPr>
              <w:t xml:space="preserve">FY26 revenue</w:t>
            </w:r>
          </w:p>
        </w:tc>
        <w:tc>
          <w:tcPr/>
          <w:p>
            <w:pPr>
              <w:pStyle w:val="Compact"/>
              <w:jc w:val="right"/>
            </w:pPr>
            <w:r>
              <w:rPr>
                <w:b/>
                <w:bCs/>
              </w:rPr>
              <w:t xml:space="preserve">At least $6.405 billion</w:t>
            </w:r>
          </w:p>
        </w:tc>
      </w:tr>
      <w:tr>
        <w:tc>
          <w:tcPr/>
          <w:p>
            <w:pPr>
              <w:pStyle w:val="Compact"/>
            </w:pPr>
            <w:r>
              <w:rPr>
                <w:b/>
                <w:bCs/>
              </w:rPr>
              <w:t xml:space="preserve">FY26 adjusted EBITDA</w:t>
            </w:r>
          </w:p>
        </w:tc>
        <w:tc>
          <w:tcPr/>
          <w:p>
            <w:pPr>
              <w:pStyle w:val="Compact"/>
              <w:jc w:val="right"/>
            </w:pPr>
            <w:r>
              <w:rPr>
                <w:b/>
                <w:bCs/>
              </w:rPr>
              <w:t xml:space="preserve">At least $1.545 billion</w:t>
            </w:r>
          </w:p>
        </w:tc>
      </w:tr>
      <w:tr>
        <w:tc>
          <w:tcPr/>
          <w:p>
            <w:pPr>
              <w:pStyle w:val="Compact"/>
            </w:pPr>
            <w:r>
              <w:rPr>
                <w:b/>
                <w:bCs/>
              </w:rPr>
              <w:t xml:space="preserve">FY26 adjusted EBITDA margin</w:t>
            </w:r>
          </w:p>
        </w:tc>
        <w:tc>
          <w:tcPr/>
          <w:p>
            <w:pPr>
              <w:pStyle w:val="Compact"/>
              <w:jc w:val="right"/>
            </w:pPr>
            <w:r>
              <w:rPr>
                <w:b/>
                <w:bCs/>
              </w:rPr>
              <w:t xml:space="preserve">At least 24.1%</w:t>
            </w:r>
          </w:p>
        </w:tc>
      </w:tr>
      <w:tr>
        <w:tc>
          <w:tcPr/>
          <w:p>
            <w:pPr>
              <w:pStyle w:val="Compact"/>
            </w:pPr>
            <w:r>
              <w:rPr>
                <w:b/>
                <w:bCs/>
              </w:rPr>
              <w:t xml:space="preserve">FY26 adjusted EPS</w:t>
            </w:r>
          </w:p>
        </w:tc>
        <w:tc>
          <w:tcPr/>
          <w:p>
            <w:pPr>
              <w:pStyle w:val="Compact"/>
              <w:jc w:val="right"/>
            </w:pPr>
            <w:r>
              <w:rPr>
                <w:b/>
                <w:bCs/>
              </w:rPr>
              <w:t xml:space="preserve">At least $13.25</w:t>
            </w:r>
          </w:p>
        </w:tc>
      </w:tr>
      <w:tr>
        <w:tc>
          <w:tcPr/>
          <w:p>
            <w:pPr>
              <w:pStyle w:val="Compact"/>
            </w:pPr>
            <w:r>
              <w:rPr>
                <w:b/>
                <w:bCs/>
              </w:rPr>
              <w:t xml:space="preserve">FY26 free cash flow</w:t>
            </w:r>
          </w:p>
        </w:tc>
        <w:tc>
          <w:tcPr/>
          <w:p>
            <w:pPr>
              <w:pStyle w:val="Compact"/>
              <w:jc w:val="right"/>
            </w:pPr>
            <w:r>
              <w:rPr>
                <w:b/>
                <w:bCs/>
              </w:rPr>
              <w:t xml:space="preserve">At least $1.16 billion</w:t>
            </w:r>
          </w:p>
        </w:tc>
      </w:tr>
    </w:tbl>
    <w:p>
      <w:pPr>
        <w:pStyle w:val="BodyText"/>
      </w:pPr>
      <w:r>
        <w:t xml:space="preserve">The important nuance: the company’s earnings and cash-flow outlook has considerable support from expense discipline and a shrinking share count. Gartner therefore needs CV improvement to make investors confident that the profit algorithm is sustainable beyond 2026. (</w:t>
      </w:r>
      <w:hyperlink r:id="rId10">
        <w:r>
          <w:rPr>
            <w:rStyle w:val="Hyperlink"/>
          </w:rPr>
          <w:t xml:space="preserve">investor.gartner.com</w:t>
        </w:r>
      </w:hyperlink>
      <w:r>
        <w:t xml:space="preserve">)</w:t>
      </w:r>
    </w:p>
    <w:bookmarkEnd w:id="12"/>
    <w:bookmarkStart w:id="16" w:name="the-key-kpi-contract-value"/>
    <w:p>
      <w:pPr>
        <w:pStyle w:val="Heading2"/>
      </w:pPr>
      <w:r>
        <w:t xml:space="preserve">The key KPI: contract value</w:t>
      </w:r>
    </w:p>
    <w:p>
      <w:pPr>
        <w:pStyle w:val="FirstParagraph"/>
      </w:pPr>
      <w:r>
        <w:t xml:space="preserve">CV is Gartner’s core leading indicator for future Insights revenue. Management indicated that, mechanically, changes in net contract-value increase affect subsequent-quarter revenue recognition gradually; therefore, a better CV print matters more for the medium-term revenue trajectory than for an immediate-quarter revenue surprise.</w:t>
      </w:r>
    </w:p>
    <w:bookmarkStart w:id="14" w:name="what-investors-should-want-to-see"/>
    <w:p>
      <w:pPr>
        <w:pStyle w:val="Heading3"/>
      </w:pPr>
      <w:r>
        <w:t xml:space="preserve">What investors should want to see</w:t>
      </w:r>
    </w:p>
    <w:p>
      <w:pPr>
        <w:pStyle w:val="Compact"/>
        <w:numPr>
          <w:ilvl w:val="0"/>
          <w:numId w:val="1002"/>
        </w:numPr>
      </w:pPr>
      <w:r>
        <w:rPr>
          <w:b/>
          <w:bCs/>
        </w:rPr>
        <w:t xml:space="preserve">Clear sequential and year-over-year acceleration in total CV.</w:t>
      </w:r>
    </w:p>
    <w:p>
      <w:pPr>
        <w:pStyle w:val="Compact"/>
        <w:numPr>
          <w:ilvl w:val="0"/>
          <w:numId w:val="1002"/>
        </w:numPr>
      </w:pPr>
      <w:r>
        <w:rPr>
          <w:b/>
          <w:bCs/>
        </w:rPr>
        <w:t xml:space="preserve">Acceleration ex-U.S. federal</w:t>
      </w:r>
      <w:r>
        <w:t xml:space="preserve">, not simply less of a federal-government drag.</w:t>
      </w:r>
    </w:p>
    <w:p>
      <w:pPr>
        <w:pStyle w:val="Compact"/>
        <w:numPr>
          <w:ilvl w:val="0"/>
          <w:numId w:val="1002"/>
        </w:numPr>
      </w:pPr>
      <w:r>
        <w:t xml:space="preserve">Evidence that</w:t>
      </w:r>
      <w:r>
        <w:t xml:space="preserve"> </w:t>
      </w:r>
      <w:r>
        <w:rPr>
          <w:b/>
          <w:bCs/>
        </w:rPr>
        <w:t xml:space="preserve">GTS improves</w:t>
      </w:r>
      <w:r>
        <w:t xml:space="preserve">, given its larger $4.0 billion CV base and its relatively weak</w:t>
      </w:r>
      <w:r>
        <w:t xml:space="preserve"> </w:t>
      </w:r>
      <w:r>
        <w:rPr>
          <w:b/>
          <w:bCs/>
        </w:rPr>
        <w:t xml:space="preserve">0.4%</w:t>
      </w:r>
      <w:r>
        <w:t xml:space="preserve"> </w:t>
      </w:r>
      <w:r>
        <w:t xml:space="preserve">Q1 growth.</w:t>
      </w:r>
    </w:p>
    <w:p>
      <w:pPr>
        <w:pStyle w:val="Compact"/>
        <w:numPr>
          <w:ilvl w:val="0"/>
          <w:numId w:val="1002"/>
        </w:numPr>
      </w:pPr>
      <w:r>
        <w:t xml:space="preserve">Sustained mid-single-digit or better performance in</w:t>
      </w:r>
      <w:r>
        <w:t xml:space="preserve"> </w:t>
      </w:r>
      <w:r>
        <w:rPr>
          <w:b/>
          <w:bCs/>
        </w:rPr>
        <w:t xml:space="preserve">GBS</w:t>
      </w:r>
      <w:r>
        <w:t xml:space="preserve">, which grew</w:t>
      </w:r>
      <w:r>
        <w:t xml:space="preserve"> </w:t>
      </w:r>
      <w:r>
        <w:rPr>
          <w:b/>
          <w:bCs/>
        </w:rPr>
        <w:t xml:space="preserve">3.2%</w:t>
      </w:r>
      <w:r>
        <w:t xml:space="preserve"> </w:t>
      </w:r>
      <w:r>
        <w:t xml:space="preserve">in Q1.</w:t>
      </w:r>
    </w:p>
    <w:p>
      <w:pPr>
        <w:pStyle w:val="Compact"/>
        <w:numPr>
          <w:ilvl w:val="0"/>
          <w:numId w:val="1002"/>
        </w:numPr>
      </w:pPr>
      <w:r>
        <w:t xml:space="preserve">Commentary that new-business conversion improved after the March disruption and that sales cycles are shortening or at least stabilizing.</w:t>
      </w:r>
    </w:p>
    <w:p>
      <w:pPr>
        <w:pStyle w:val="FirstParagraph"/>
      </w:pPr>
      <w:r>
        <w:t xml:space="preserve">Management’s prior message was encouraging: January and February sales activity had been strong, March decisions slowed amid geopolitical uncertainty, and many delayed transactions reportedly closed in April. At its June investor conference, Gartner also pointed to double-digit growth in its “factory” new-business pipeline and reiterated expectations for CV acceleration through 2026. (</w:t>
      </w:r>
      <w:hyperlink r:id="rId13">
        <w:r>
          <w:rPr>
            <w:rStyle w:val="Hyperlink"/>
          </w:rPr>
          <w:t xml:space="preserve">investor.gartner.com</w:t>
        </w:r>
      </w:hyperlink>
      <w:r>
        <w:t xml:space="preserve">)</w:t>
      </w:r>
    </w:p>
    <w:bookmarkEnd w:id="14"/>
    <w:bookmarkStart w:id="15" w:name="what-would-disappoint"/>
    <w:p>
      <w:pPr>
        <w:pStyle w:val="Heading3"/>
      </w:pPr>
      <w:r>
        <w:t xml:space="preserve">What would disappoint</w:t>
      </w:r>
    </w:p>
    <w:p>
      <w:pPr>
        <w:pStyle w:val="FirstParagraph"/>
      </w:pPr>
      <w:r>
        <w:t xml:space="preserve">A CV result that remains near Q1’s 1% growth rate—or an improvement driven principally by easier federal comparisons—would reinforce the bear case that Gartner’s historical growth model is proving harder to restart.</w:t>
      </w:r>
    </w:p>
    <w:bookmarkEnd w:id="15"/>
    <w:bookmarkEnd w:id="16"/>
    <w:bookmarkStart w:id="17" w:name="X65514a11e2d0d30ca1fe9416cab4568ebe9a8cc"/>
    <w:p>
      <w:pPr>
        <w:pStyle w:val="Heading2"/>
      </w:pPr>
      <w:r>
        <w:t xml:space="preserve">U.S. federal: less of a drag, but not yet a growth engine</w:t>
      </w:r>
    </w:p>
    <w:p>
      <w:pPr>
        <w:pStyle w:val="FirstParagraph"/>
      </w:pPr>
      <w:r>
        <w:t xml:space="preserve">U.S. federal business was the largest identifiable headwind to Gartner’s 2025 growth. Management said it entered 2025 with roughly</w:t>
      </w:r>
      <w:r>
        <w:t xml:space="preserve"> </w:t>
      </w:r>
      <m:oMath>
        <m:r>
          <m:t>280</m:t>
        </m:r>
        <m:r>
          <m:t>m</m:t>
        </m:r>
        <m:r>
          <m:t>i</m:t>
        </m:r>
        <m:r>
          <m:t>l</m:t>
        </m:r>
        <m:r>
          <m:t>l</m:t>
        </m:r>
        <m:r>
          <m:t>i</m:t>
        </m:r>
        <m:r>
          <m:t>o</m:t>
        </m:r>
        <m:r>
          <m:t>n</m:t>
        </m:r>
        <m:r>
          <m:rPr>
            <m:sty m:val="p"/>
          </m:rPr>
          <m:t>*</m:t>
        </m:r>
        <m:r>
          <m:rPr>
            <m:sty m:val="p"/>
          </m:rPr>
          <m:t>*</m:t>
        </m:r>
        <m:r>
          <m:t>o</m:t>
        </m:r>
        <m:r>
          <m:t>f</m:t>
        </m:r>
        <m:r>
          <m:t>f</m:t>
        </m:r>
        <m:r>
          <m:t>e</m:t>
        </m:r>
        <m:r>
          <m:t>d</m:t>
        </m:r>
        <m:r>
          <m:t>e</m:t>
        </m:r>
        <m:r>
          <m:t>r</m:t>
        </m:r>
        <m:r>
          <m:t>a</m:t>
        </m:r>
        <m:r>
          <m:t>l</m:t>
        </m:r>
        <m:r>
          <m:t>C</m:t>
        </m:r>
        <m:r>
          <m:t>V</m:t>
        </m:r>
        <m:r>
          <m:rPr>
            <m:sty m:val="p"/>
          </m:rPr>
          <m:t>,</m:t>
        </m:r>
        <m:r>
          <m:t>b</m:t>
        </m:r>
        <m:r>
          <m:t>u</m:t>
        </m:r>
        <m:r>
          <m:t>t</m:t>
        </m:r>
        <m:r>
          <m:t>e</m:t>
        </m:r>
        <m:r>
          <m:t>x</m:t>
        </m:r>
        <m:r>
          <m:t>i</m:t>
        </m:r>
        <m:r>
          <m:t>t</m:t>
        </m:r>
        <m:r>
          <m:t>e</m:t>
        </m:r>
        <m:r>
          <m:t>d</m:t>
        </m:r>
        <m:r>
          <m:t>Q</m:t>
        </m:r>
        <m:r>
          <m:t>1</m:t>
        </m:r>
        <m:r>
          <m:t>2026</m:t>
        </m:r>
        <m:r>
          <m:t>w</m:t>
        </m:r>
        <m:r>
          <m:t>i</m:t>
        </m:r>
        <m:r>
          <m:t>t</m:t>
        </m:r>
        <m:r>
          <m:t>h</m:t>
        </m:r>
        <m:r>
          <m:t>a</m:t>
        </m:r>
        <m:r>
          <m:t>p</m:t>
        </m:r>
        <m:r>
          <m:t>p</m:t>
        </m:r>
        <m:r>
          <m:t>r</m:t>
        </m:r>
        <m:r>
          <m:t>o</m:t>
        </m:r>
        <m:r>
          <m:t>x</m:t>
        </m:r>
        <m:r>
          <m:t>i</m:t>
        </m:r>
        <m:r>
          <m:t>m</m:t>
        </m:r>
        <m:r>
          <m:t>a</m:t>
        </m:r>
        <m:r>
          <m:t>t</m:t>
        </m:r>
        <m:r>
          <m:t>e</m:t>
        </m:r>
        <m:r>
          <m:t>l</m:t>
        </m:r>
        <m:r>
          <m:t>y</m:t>
        </m:r>
        <m:r>
          <m:rPr>
            <m:sty m:val="p"/>
          </m:rPr>
          <m:t>*</m:t>
        </m:r>
        <m:r>
          <m:rPr>
            <m:sty m:val="p"/>
          </m:rPr>
          <m:t>*</m:t>
        </m:r>
      </m:oMath>
      <w:r>
        <w:rPr>
          <w:b/>
          <w:bCs/>
        </w:rPr>
        <w:t xml:space="preserve">114 million</w:t>
      </w:r>
      <w:r>
        <w:t xml:space="preserve">. It expects the business to be roughly</w:t>
      </w:r>
      <w:r>
        <w:t xml:space="preserve"> </w:t>
      </w:r>
      <w:r>
        <w:rPr>
          <w:b/>
          <w:bCs/>
        </w:rPr>
        <w:t xml:space="preserve">flat for 2026</w:t>
      </w:r>
      <w:r>
        <w:t xml:space="preserve">, not a meaningful contributor to growth.</w:t>
      </w:r>
    </w:p>
    <w:p>
      <w:pPr>
        <w:pStyle w:val="BodyText"/>
      </w:pPr>
      <w:r>
        <w:t xml:space="preserve">That framing makes Q2 important for two reasons:</w:t>
      </w:r>
    </w:p>
    <w:p>
      <w:pPr>
        <w:pStyle w:val="Compact"/>
        <w:numPr>
          <w:ilvl w:val="0"/>
          <w:numId w:val="1003"/>
        </w:numPr>
      </w:pPr>
      <w:r>
        <w:t xml:space="preserve">The company begins to lap the sharpest disruption from 2025.</w:t>
      </w:r>
    </w:p>
    <w:p>
      <w:pPr>
        <w:pStyle w:val="Compact"/>
        <w:numPr>
          <w:ilvl w:val="0"/>
          <w:numId w:val="1003"/>
        </w:numPr>
      </w:pPr>
      <w:r>
        <w:t xml:space="preserve">Investors need evidence that renewal rates have normalized and that the remaining base is stable.</w:t>
      </w:r>
    </w:p>
    <w:p>
      <w:pPr>
        <w:pStyle w:val="FirstParagraph"/>
      </w:pPr>
      <w:r>
        <w:t xml:space="preserve">The best outcome is not necessarily a major federal rebound; it is confirmation that federal is no longer consuming management attention or obscuring progress in the broader commercial book.</w:t>
      </w:r>
    </w:p>
    <w:bookmarkEnd w:id="17"/>
    <w:bookmarkStart w:id="18" w:name="consulting-remains-the-weak-link"/>
    <w:p>
      <w:pPr>
        <w:pStyle w:val="Heading2"/>
      </w:pPr>
      <w:r>
        <w:t xml:space="preserve">Consulting remains the weak link</w:t>
      </w:r>
    </w:p>
    <w:p>
      <w:pPr>
        <w:pStyle w:val="FirstParagraph"/>
      </w:pPr>
      <w:r>
        <w:t xml:space="preserve">Q1 Consulting revenue fell</w:t>
      </w:r>
      <w:r>
        <w:t xml:space="preserve"> </w:t>
      </w:r>
      <w:r>
        <w:rPr>
          <w:b/>
          <w:bCs/>
        </w:rPr>
        <w:t xml:space="preserve">14.7% year over year</w:t>
      </w:r>
      <w:r>
        <w:t xml:space="preserve">—or</w:t>
      </w:r>
      <w:r>
        <w:t xml:space="preserve"> </w:t>
      </w:r>
      <w:r>
        <w:rPr>
          <w:b/>
          <w:bCs/>
        </w:rPr>
        <w:t xml:space="preserve">16.8% FX-neutral</w:t>
      </w:r>
      <w:r>
        <w:t xml:space="preserve">—to $119 million, while segment contribution fell more than 30%. (</w:t>
      </w:r>
      <w:hyperlink r:id="rId10">
        <w:r>
          <w:rPr>
            <w:rStyle w:val="Hyperlink"/>
          </w:rPr>
          <w:t xml:space="preserve">investor.gartner.com</w:t>
        </w:r>
      </w:hyperlink>
      <w:r>
        <w:t xml:space="preserve">)</w:t>
      </w:r>
    </w:p>
    <w:p>
      <w:pPr>
        <w:pStyle w:val="BodyText"/>
      </w:pPr>
      <w:r>
        <w:t xml:space="preserve">Management characterized Q1 consulting bookings as delayed by customer decision-making and deliberately de-risked its full-year assumptions. At the June conference, it said Q2 bookings should improve, which would support a better revenue trajectory in Q3 and Q4.</w:t>
      </w:r>
    </w:p>
    <w:p>
      <w:pPr>
        <w:pStyle w:val="BodyText"/>
      </w:pPr>
      <w:r>
        <w:t xml:space="preserve">For the Q2 release, investors should focus on:</w:t>
      </w:r>
    </w:p>
    <w:p>
      <w:pPr>
        <w:pStyle w:val="Compact"/>
        <w:numPr>
          <w:ilvl w:val="0"/>
          <w:numId w:val="1004"/>
        </w:numPr>
      </w:pPr>
      <w:r>
        <w:t xml:space="preserve">Consulting backlog and labor-based consulting demand;</w:t>
      </w:r>
    </w:p>
    <w:p>
      <w:pPr>
        <w:pStyle w:val="Compact"/>
        <w:numPr>
          <w:ilvl w:val="0"/>
          <w:numId w:val="1004"/>
        </w:numPr>
      </w:pPr>
      <w:r>
        <w:t xml:space="preserve">whether contract-optimization activity remains soft;</w:t>
      </w:r>
    </w:p>
    <w:p>
      <w:pPr>
        <w:pStyle w:val="Compact"/>
        <w:numPr>
          <w:ilvl w:val="0"/>
          <w:numId w:val="1004"/>
        </w:numPr>
      </w:pPr>
      <w:r>
        <w:t xml:space="preserve">management’s confidence in the second-half recovery; and</w:t>
      </w:r>
    </w:p>
    <w:p>
      <w:pPr>
        <w:pStyle w:val="Compact"/>
        <w:numPr>
          <w:ilvl w:val="0"/>
          <w:numId w:val="1004"/>
        </w:numPr>
      </w:pPr>
      <w:r>
        <w:t xml:space="preserve">whether Consulting margins can stabilize even if revenue remains pressured.</w:t>
      </w:r>
    </w:p>
    <w:p>
      <w:pPr>
        <w:pStyle w:val="FirstParagraph"/>
      </w:pPr>
      <w:r>
        <w:t xml:space="preserve">Consulting is not the main valuation driver, but continued deterioration would undermine the argument that the slowdown is confined to a temporary CV timing issue.</w:t>
      </w:r>
    </w:p>
    <w:bookmarkEnd w:id="18"/>
    <w:bookmarkStart w:id="19" w:name="X854ee79a1ea8badf876539382bdc6973aab54c9"/>
    <w:p>
      <w:pPr>
        <w:pStyle w:val="Heading2"/>
      </w:pPr>
      <w:r>
        <w:t xml:space="preserve">AI: the strategic question behind the multiple</w:t>
      </w:r>
    </w:p>
    <w:p>
      <w:pPr>
        <w:pStyle w:val="FirstParagraph"/>
      </w:pPr>
      <w:r>
        <w:t xml:space="preserve">The market’s broader concern is that generative AI could disrupt Gartner’s information-services model. Management’s response has been consistent: Gartner is not primarily a search or question-and-answer product. Instead, it emphasizes proactive insight delivery, analyst interaction, executive advisory, peer networks, and conferences.</w:t>
      </w:r>
    </w:p>
    <w:p>
      <w:pPr>
        <w:pStyle w:val="BodyText"/>
      </w:pPr>
      <w:r>
        <w:t xml:space="preserve">The evidence management has highlighted is constructive:</w:t>
      </w:r>
    </w:p>
    <w:p>
      <w:pPr>
        <w:pStyle w:val="Compact"/>
        <w:numPr>
          <w:ilvl w:val="0"/>
          <w:numId w:val="1005"/>
        </w:numPr>
      </w:pPr>
      <w:r>
        <w:t xml:space="preserve">licensed-user engagement improved in Q1, including both digital and human interactions;</w:t>
      </w:r>
    </w:p>
    <w:p>
      <w:pPr>
        <w:pStyle w:val="Compact"/>
        <w:numPr>
          <w:ilvl w:val="0"/>
          <w:numId w:val="1005"/>
        </w:numPr>
      </w:pPr>
      <w:r>
        <w:t xml:space="preserve">AskGartner usage is increasing, with frequent product releases;</w:t>
      </w:r>
    </w:p>
    <w:p>
      <w:pPr>
        <w:pStyle w:val="Compact"/>
        <w:numPr>
          <w:ilvl w:val="0"/>
          <w:numId w:val="1005"/>
        </w:numPr>
      </w:pPr>
      <w:r>
        <w:t xml:space="preserve">conference demand has remained healthy; and</w:t>
      </w:r>
    </w:p>
    <w:p>
      <w:pPr>
        <w:pStyle w:val="Compact"/>
        <w:numPr>
          <w:ilvl w:val="0"/>
          <w:numId w:val="1005"/>
        </w:numPr>
      </w:pPr>
      <w:r>
        <w:t xml:space="preserve">pipeline generation has continued despite longer decision cycles.</w:t>
      </w:r>
    </w:p>
    <w:p>
      <w:pPr>
        <w:pStyle w:val="FirstParagraph"/>
      </w:pPr>
      <w:r>
        <w:t xml:space="preserve">Still, the company needs to show that this engagement converts into</w:t>
      </w:r>
      <w:r>
        <w:t xml:space="preserve"> </w:t>
      </w:r>
      <w:r>
        <w:rPr>
          <w:b/>
          <w:bCs/>
        </w:rPr>
        <w:t xml:space="preserve">retention, wallet expansion, and new CV</w:t>
      </w:r>
      <w:r>
        <w:t xml:space="preserve">, not simply usage. AI-related commentary will matter most if it explains how Gartner is protecting proprietary intellectual property while improving the product experience and monetization opportunity.</w:t>
      </w:r>
    </w:p>
    <w:bookmarkEnd w:id="19"/>
    <w:bookmarkStart w:id="20" w:name="X0900680ca16795bb9ae06d5db3bf2b2893eafd4"/>
    <w:p>
      <w:pPr>
        <w:pStyle w:val="Heading2"/>
      </w:pPr>
      <w:r>
        <w:t xml:space="preserve">Capital allocation remains a powerful EPS support</w:t>
      </w:r>
    </w:p>
    <w:p>
      <w:pPr>
        <w:pStyle w:val="FirstParagraph"/>
      </w:pPr>
      <w:r>
        <w:t xml:space="preserve">Gartner repurchased</w:t>
      </w:r>
      <w:r>
        <w:t xml:space="preserve"> </w:t>
      </w:r>
      <w:r>
        <w:rPr>
          <w:b/>
          <w:bCs/>
        </w:rPr>
        <w:t xml:space="preserve">3.3 million shares for</w:t>
      </w:r>
      <w:r>
        <w:rPr>
          <w:b/>
          <w:bCs/>
        </w:rPr>
        <w:t xml:space="preserve"> </w:t>
      </w:r>
      <m:oMath>
        <m:r>
          <m:t>535</m:t>
        </m:r>
        <m:r>
          <m:t>m</m:t>
        </m:r>
        <m:r>
          <m:t>i</m:t>
        </m:r>
        <m:r>
          <m:t>l</m:t>
        </m:r>
        <m:r>
          <m:t>l</m:t>
        </m:r>
        <m:r>
          <m:t>i</m:t>
        </m:r>
        <m:r>
          <m:t>o</m:t>
        </m:r>
        <m:r>
          <m:t>n</m:t>
        </m:r>
        <m:r>
          <m:rPr>
            <m:sty m:val="p"/>
          </m:rPr>
          <m:t>*</m:t>
        </m:r>
        <m:r>
          <m:rPr>
            <m:sty m:val="p"/>
          </m:rPr>
          <m:t>*</m:t>
        </m:r>
        <m:r>
          <m:t>i</m:t>
        </m:r>
        <m:r>
          <m:t>n</m:t>
        </m:r>
        <m:r>
          <m:t>Q</m:t>
        </m:r>
        <m:r>
          <m:t>1</m:t>
        </m:r>
        <m:r>
          <m:rPr>
            <m:sty m:val="p"/>
          </m:rPr>
          <m:t>,</m:t>
        </m:r>
        <m:r>
          <m:t>r</m:t>
        </m:r>
        <m:r>
          <m:t>e</m:t>
        </m:r>
        <m:r>
          <m:t>d</m:t>
        </m:r>
        <m:r>
          <m:t>u</m:t>
        </m:r>
        <m:r>
          <m:t>c</m:t>
        </m:r>
        <m:r>
          <m:t>i</m:t>
        </m:r>
        <m:r>
          <m:t>n</m:t>
        </m:r>
        <m:r>
          <m:t>g</m:t>
        </m:r>
        <m:r>
          <m:t>i</m:t>
        </m:r>
        <m:r>
          <m:t>t</m:t>
        </m:r>
        <m:r>
          <m:t>s</m:t>
        </m:r>
        <m:r>
          <m:t>s</m:t>
        </m:r>
        <m:r>
          <m:t>h</m:t>
        </m:r>
        <m:r>
          <m:t>a</m:t>
        </m:r>
        <m:r>
          <m:t>r</m:t>
        </m:r>
        <m:r>
          <m:t>e</m:t>
        </m:r>
        <m:r>
          <m:t>c</m:t>
        </m:r>
        <m:r>
          <m:t>o</m:t>
        </m:r>
        <m:r>
          <m:t>u</m:t>
        </m:r>
        <m:r>
          <m:t>n</m:t>
        </m:r>
        <m:r>
          <m:t>t</m:t>
        </m:r>
        <m:r>
          <m:t>b</m:t>
        </m:r>
        <m:r>
          <m:t>y</m:t>
        </m:r>
        <m:r>
          <m:t>m</m:t>
        </m:r>
        <m:r>
          <m:t>o</m:t>
        </m:r>
        <m:r>
          <m:t>r</m:t>
        </m:r>
        <m:r>
          <m:t>e</m:t>
        </m:r>
        <m:r>
          <m:t>t</m:t>
        </m:r>
        <m:r>
          <m:t>h</m:t>
        </m:r>
        <m:r>
          <m:t>a</m:t>
        </m:r>
        <m:r>
          <m:t>n</m:t>
        </m:r>
        <m:r>
          <m:t>4</m:t>
        </m:r>
      </m:oMath>
      <w:r>
        <w:rPr>
          <w:b/>
          <w:bCs/>
        </w:rPr>
        <w:t xml:space="preserve">1.2 billion</w:t>
      </w:r>
      <w:r>
        <w:t xml:space="preserve"> </w:t>
      </w:r>
      <w:r>
        <w:t xml:space="preserve">remaining under its repurchase authorization after the April board refresh. (</w:t>
      </w:r>
      <w:hyperlink r:id="rId10">
        <w:r>
          <w:rPr>
            <w:rStyle w:val="Hyperlink"/>
          </w:rPr>
          <w:t xml:space="preserve">investor.gartner.com</w:t>
        </w:r>
      </w:hyperlink>
      <w:r>
        <w:t xml:space="preserve">)</w:t>
      </w:r>
    </w:p>
    <w:p>
      <w:pPr>
        <w:pStyle w:val="BodyText"/>
      </w:pPr>
      <w:r>
        <w:t xml:space="preserve">This is an important support to the company’s objective of delivering adjusted EPS growth of at least 12% on a compound annual basis over three years. But it is also why investors are likely to scrutinize underlying CV momentum: buybacks can enhance per-share results, but they cannot indefinitely compensate for a slow-growth subscription base.</w:t>
      </w:r>
    </w:p>
    <w:bookmarkEnd w:id="20"/>
    <w:bookmarkStart w:id="21" w:name="stock-setup-and-expectations"/>
    <w:p>
      <w:pPr>
        <w:pStyle w:val="Heading2"/>
      </w:pPr>
      <w:r>
        <w:t xml:space="preserve">Stock setup and expectations</w:t>
      </w:r>
    </w:p>
    <w:p>
      <w:pPr>
        <w:pStyle w:val="FirstParagraph"/>
      </w:pPr>
      <w:r>
        <w:t xml:space="preserve">IT closed at</w:t>
      </w:r>
      <w:r>
        <w:t xml:space="preserve"> </w:t>
      </w:r>
      <w:r>
        <w:rPr>
          <w:b/>
          <w:bCs/>
        </w:rPr>
        <w:t xml:space="preserve">$151.56 on August 3</w:t>
      </w:r>
      <w:r>
        <w:t xml:space="preserve">, down about</w:t>
      </w:r>
      <w:r>
        <w:t xml:space="preserve"> </w:t>
      </w:r>
      <w:r>
        <w:rPr>
          <w:b/>
          <w:bCs/>
        </w:rPr>
        <w:t xml:space="preserve">36% from its January 2 close</w:t>
      </w:r>
      <w:r>
        <w:t xml:space="preserve"> </w:t>
      </w:r>
      <w:r>
        <w:t xml:space="preserve">and roughly</w:t>
      </w:r>
      <w:r>
        <w:t xml:space="preserve"> </w:t>
      </w:r>
      <w:r>
        <w:rPr>
          <w:b/>
          <w:bCs/>
        </w:rPr>
        <w:t xml:space="preserve">8.5% from its July 29 level</w:t>
      </w:r>
      <w:r>
        <w:t xml:space="preserve">. The weak share performance suggests investors are already discounting a prolonged recovery in CV and are skeptical of the company’s claims that macro disruption—not AI displacement or product erosion—is the primary issue.</w:t>
      </w:r>
    </w:p>
    <w:p>
      <w:pPr>
        <w:pStyle w:val="BodyText"/>
      </w:pPr>
      <w:r>
        <w:t xml:space="preserve">That lowers the bar for a positive stock reaction if Gartner can deliver:</w:t>
      </w:r>
    </w:p>
    <w:p>
      <w:pPr>
        <w:pStyle w:val="Compact"/>
        <w:numPr>
          <w:ilvl w:val="0"/>
          <w:numId w:val="1006"/>
        </w:numPr>
      </w:pPr>
      <w:r>
        <w:t xml:space="preserve">an unambiguous CV acceleration;</w:t>
      </w:r>
    </w:p>
    <w:p>
      <w:pPr>
        <w:pStyle w:val="Compact"/>
        <w:numPr>
          <w:ilvl w:val="0"/>
          <w:numId w:val="1006"/>
        </w:numPr>
      </w:pPr>
      <w:r>
        <w:t xml:space="preserve">confirmation that April-through-June selling activity improved;</w:t>
      </w:r>
    </w:p>
    <w:p>
      <w:pPr>
        <w:pStyle w:val="Compact"/>
        <w:numPr>
          <w:ilvl w:val="0"/>
          <w:numId w:val="1006"/>
        </w:numPr>
      </w:pPr>
      <w:r>
        <w:t xml:space="preserve">stable-to-improving retention and new-business trends;</w:t>
      </w:r>
    </w:p>
    <w:p>
      <w:pPr>
        <w:pStyle w:val="Compact"/>
        <w:numPr>
          <w:ilvl w:val="0"/>
          <w:numId w:val="1006"/>
        </w:numPr>
      </w:pPr>
      <w:r>
        <w:t xml:space="preserve">no further deterioration in Consulting; and</w:t>
      </w:r>
    </w:p>
    <w:p>
      <w:pPr>
        <w:pStyle w:val="Compact"/>
        <w:numPr>
          <w:ilvl w:val="0"/>
          <w:numId w:val="1006"/>
        </w:numPr>
      </w:pPr>
      <w:r>
        <w:t xml:space="preserve">maintained or increased full-year guidance.</w:t>
      </w:r>
    </w:p>
    <w:p>
      <w:pPr>
        <w:pStyle w:val="FirstParagraph"/>
      </w:pPr>
      <w:r>
        <w:t xml:space="preserve">Conversely, a modest EBITDA beat paired with weak CV or cautious commentary on the commercial environment would likely be viewed negatively.</w:t>
      </w:r>
    </w:p>
    <w:bookmarkEnd w:id="21"/>
    <w:bookmarkStart w:id="25" w:name="bottom-line"/>
    <w:p>
      <w:pPr>
        <w:pStyle w:val="Heading2"/>
      </w:pPr>
      <w:r>
        <w:t xml:space="preserve">Bottom line</w:t>
      </w:r>
    </w:p>
    <w:p>
      <w:pPr>
        <w:pStyle w:val="FirstParagraph"/>
      </w:pPr>
      <w:r>
        <w:rPr>
          <w:b/>
          <w:bCs/>
        </w:rPr>
        <w:t xml:space="preserve">This quarter is about validating the recovery narrative.</w:t>
      </w:r>
      <w:r>
        <w:t xml:space="preserve"> </w:t>
      </w:r>
      <w:r>
        <w:t xml:space="preserve">Gartner has already shown that it can protect margins, generate substantial free cash flow, and retire shares aggressively. The missing ingredient is a convincing reacceleration in organic demand—most visibly through CV growth.</w:t>
      </w:r>
    </w:p>
    <w:bookmarkStart w:id="22" w:name="bull-case"/>
    <w:p>
      <w:pPr>
        <w:pStyle w:val="Heading3"/>
      </w:pPr>
      <w:r>
        <w:t xml:space="preserve">Bull case</w:t>
      </w:r>
    </w:p>
    <w:p>
      <w:pPr>
        <w:pStyle w:val="FirstParagraph"/>
      </w:pPr>
      <w:r>
        <w:t xml:space="preserve">CV reaccelerates meaningfully, ex-federal growth strengthens, March-delayed deals prove to have converted, and management reaffirms that engagement gains are translating into better retention and new business. That would support the view that 2026 is a transition year before stronger revenue growth in 2027.</w:t>
      </w:r>
    </w:p>
    <w:bookmarkEnd w:id="22"/>
    <w:bookmarkStart w:id="23" w:name="bear-case"/>
    <w:p>
      <w:pPr>
        <w:pStyle w:val="Heading3"/>
      </w:pPr>
      <w:r>
        <w:t xml:space="preserve">Bear case</w:t>
      </w:r>
    </w:p>
    <w:p>
      <w:pPr>
        <w:pStyle w:val="FirstParagraph"/>
      </w:pPr>
      <w:r>
        <w:t xml:space="preserve">CV remains sluggish outside of federal normalization, consulting bookings do not recover, or management cites persistent lengthening of sales cycles. That outcome would suggest that Gartner’s growth reset is taking longer than expected and keep the AI-disruption debate central.</w:t>
      </w:r>
    </w:p>
    <w:bookmarkEnd w:id="23"/>
    <w:bookmarkStart w:id="24" w:name="the-single-most-important-takeaway"/>
    <w:p>
      <w:pPr>
        <w:pStyle w:val="Heading3"/>
      </w:pPr>
      <w:r>
        <w:t xml:space="preserve">The single most important takeaway</w:t>
      </w:r>
    </w:p>
    <w:p>
      <w:pPr>
        <w:pStyle w:val="FirstParagraph"/>
      </w:pPr>
      <w:r>
        <w:rPr>
          <w:b/>
          <w:bCs/>
        </w:rPr>
        <w:t xml:space="preserve">Watch total and ex-federal contract-value growth—not just EPS.</w:t>
      </w:r>
      <w:r>
        <w:t xml:space="preserve"> </w:t>
      </w:r>
      <w:r>
        <w:t xml:space="preserve">It is the clearest measure of whether Gartner’s fundamental growth engine is actually turning.</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investor.gartner.com/events/event-details/baird-2026-global-consumer-technology-services-conference?utm_source=openai" TargetMode="External" /><Relationship Type="http://schemas.openxmlformats.org/officeDocument/2006/relationships/hyperlink" Id="rId10" Target="https://investor.gartner.com/news-releases/news-release-details/gartner-reports-first-quarter-2026-financial-results?utm_source=openai" TargetMode="External" /><Relationship Type="http://schemas.openxmlformats.org/officeDocument/2006/relationships/hyperlink" Id="rId9" Target="https://investor.gartner.com/press-releases?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investor.gartner.com/events/event-details/baird-2026-global-consumer-technology-services-conference?utm_source=openai" TargetMode="External" /><Relationship Type="http://schemas.openxmlformats.org/officeDocument/2006/relationships/hyperlink" Id="rId10" Target="https://investor.gartner.com/news-releases/news-release-details/gartner-reports-first-quarter-2026-financial-results?utm_source=openai" TargetMode="External" /><Relationship Type="http://schemas.openxmlformats.org/officeDocument/2006/relationships/hyperlink" Id="rId9" Target="https://investor.gartner.com/press-release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2026-08-04T00:09:30Z</dcterms:created>
  <dcterms:modified xsi:type="dcterms:W3CDTF">2026-08-04T00:09:30Z</dcterms:modified>
</cp:coreProperties>
</file>

<file path=docProps/custom.xml><?xml version="1.0" encoding="utf-8"?>
<Properties xmlns="http://schemas.openxmlformats.org/officeDocument/2006/custom-properties" xmlns:vt="http://schemas.openxmlformats.org/officeDocument/2006/docPropsVTypes"/>
</file>