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-earnings-predictions--2026-08-04"/>
    <w:p>
      <w:pPr>
        <w:pStyle w:val="Heading1"/>
      </w:pPr>
      <w:r>
        <w:t xml:space="preserve">IT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Contract Value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~$5.31B vs. cons $5.291B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-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~$4.05 vs. cons $3.73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Consulting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~$125M vs. cons $138.5M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EBITDA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~&gt;=1.56B vs. cons $1.407B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~&gt;=13.50 vs. cons $13.67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~&gt;=6.43B vs. cons $6.426B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CV Trajectory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sequential acceleration; no step-change language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(FADE)</w:t>
            </w:r>
          </w:p>
        </w:tc>
        <w:tc>
          <w:tcPr/>
          <w:p>
            <w:pPr>
              <w:pStyle w:val="Compact"/>
            </w:pPr>
            <w:r>
              <w:t xml:space="preserve">FADE - implied H2 EPS cuts pull estimates down over 5 days; short covering provides partial support but does not flip the sign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2026-08-06T02:03:00Z</dcterms:created>
  <dcterms:modified xsi:type="dcterms:W3CDTF">2026-08-06T02:03:00Z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