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Gartner (IT)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Gartner, Inc.</w:t>
            </w:r>
          </w:p>
        </w:tc>
        <w:tc>
          <w:tcPr>
            <w:tcW w:type="dxa" w:w="2160"/>
          </w:tcPr>
          <w:p>
            <w:r>
              <w:rPr>
                <w:rFonts w:ascii="Calibri" w:hAnsi="Calibri"/>
                <w:b/>
                <w:sz w:val="22"/>
              </w:rPr>
              <w:t>Ticker</w:t>
            </w:r>
          </w:p>
        </w:tc>
        <w:tc>
          <w:tcPr>
            <w:tcW w:type="dxa" w:w="2160"/>
          </w:tcPr>
          <w:p>
            <w:r>
              <w:rPr>
                <w:rFonts w:ascii="Calibri" w:hAnsi="Calibri"/>
                <w:sz w:val="22"/>
              </w:rPr>
              <w:t>IT (NYSE)</w:t>
            </w:r>
          </w:p>
        </w:tc>
      </w:tr>
      <w:tr>
        <w:tc>
          <w:tcPr>
            <w:tcW w:type="dxa" w:w="2160"/>
          </w:tcPr>
          <w:p>
            <w:r>
              <w:rPr>
                <w:rFonts w:ascii="Calibri" w:hAnsi="Calibri"/>
                <w:b/>
                <w:sz w:val="22"/>
              </w:rPr>
              <w:t>Upcoming Earnings</w:t>
            </w:r>
          </w:p>
        </w:tc>
        <w:tc>
          <w:tcPr>
            <w:tcW w:type="dxa" w:w="2160"/>
          </w:tcPr>
          <w:p>
            <w:r>
              <w:rPr>
                <w:rFonts w:ascii="Calibri" w:hAnsi="Calibri"/>
                <w:sz w:val="22"/>
              </w:rPr>
              <w:t>TBD — Q2 2026 results expected late July / early August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r>
        <w:tc>
          <w:tcPr>
            <w:tcW w:type="dxa" w:w="2160"/>
          </w:tcPr>
          <w:p>
            <w:r>
              <w:rPr>
                <w:rFonts w:ascii="Calibri" w:hAnsi="Calibri"/>
                <w:b/>
                <w:sz w:val="22"/>
              </w:rPr>
              <w:t>Prepared</w:t>
            </w:r>
          </w:p>
        </w:tc>
        <w:tc>
          <w:tcPr>
            <w:tcW w:type="dxa" w:w="2160"/>
          </w:tcPr>
          <w:p>
            <w:r>
              <w:rPr>
                <w:rFonts w:ascii="Calibri" w:hAnsi="Calibri"/>
                <w:sz w:val="22"/>
              </w:rPr>
              <w:t>August 3, 2026</w:t>
            </w:r>
          </w:p>
        </w:tc>
        <w:tc>
          <w:tcPr>
            <w:tcW w:type="dxa" w:w="2160"/>
          </w:tcPr>
          <w:p>
            <w:r>
              <w:rPr>
                <w:rFonts w:ascii="Calibri" w:hAnsi="Calibri"/>
                <w:b/>
                <w:sz w:val="22"/>
              </w:rPr>
              <w:t>Sector</w:t>
            </w:r>
          </w:p>
        </w:tc>
        <w:tc>
          <w:tcPr>
            <w:tcW w:type="dxa" w:w="2160"/>
          </w:tcPr>
          <w:p>
            <w:r>
              <w:rPr>
                <w:rFonts w:ascii="Calibri" w:hAnsi="Calibri"/>
                <w:sz w:val="22"/>
              </w:rPr>
              <w:t>Research &amp; Advisory Services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cautiously constructive — consensus is a manageable bar and management raised full-year guidance at Q1, but the single biggest swing factor is whether </w:t>
      </w:r>
      <w:r>
        <w:rPr>
          <w:rFonts w:ascii="Calibri" w:hAnsi="Calibri"/>
          <w:b/>
          <w:color w:val="525866"/>
          <w:sz w:val="22"/>
        </w:rPr>
        <w:t>Contract Value growth continues to accelerate ex-Federal in Q2</w:t>
      </w:r>
      <w:r>
        <w:rPr>
          <w:rFonts w:ascii="Calibri" w:hAnsi="Calibri"/>
          <w:color w:val="525866"/>
          <w:sz w:val="22"/>
        </w:rPr>
        <w:t>, confirming the re-acceleration thesis.</w:t>
      </w:r>
    </w:p>
    <w:p>
      <w:r>
        <w:rPr>
          <w:rFonts w:ascii="Calibri" w:hAnsi="Calibri"/>
          <w:color w:val="525866"/>
          <w:sz w:val="22"/>
        </w:rPr>
        <w:t xml:space="preserve">Heading into Q2 2026, Gartner's bar looks achievable: consensus expects operating EPS of ~$3.73 and total revenue of ~$1.65B, both modest step-ups from Q1 actuals ($3.32 EPS, $1.51B revenue), and management's own Q2 EBITDA floor of $425M sits essentially in line with the ~$377M consensus estimate — leaving room for the company's habitual beat-and-raise pattern to play out. Management's posture shifted meaningfully more confident at the Q1 print: full-year EBITDA guidance was raised $30M to $1.545B+, EPS guidance lifted to $13.25+, and the board expanded the buyback authorization by $600M — all signals of conviction in the trajectory. Estimate revisions have been broadly stable since the Q1 print (Q2 EPS consensus moved from $3.72 to $3.73, essentially flat), suggesting the street has largely digested the raised guidance without pricing in incremental upside — a modest cushion rather than a stretched bar. The stock has underperformed meaningfully since earnings (IT indexed ~101 vs. IGV at ~110 and SPY at ~105 as of early August), reflecting the market's skepticism about the pace of CV re-acceleration rather than any fundamental deterioration — the multiple remains compressed, which means a clean beat with accelerating CV could drive a sharp re-rating. The key wildcard is the </w:t>
      </w:r>
      <w:r>
        <w:rPr>
          <w:rFonts w:ascii="Calibri" w:hAnsi="Calibri"/>
          <w:b/>
          <w:color w:val="525866"/>
          <w:sz w:val="22"/>
        </w:rPr>
        <w:t>pace of new business recovery in Q2</w:t>
      </w:r>
      <w:r>
        <w:rPr>
          <w:rFonts w:ascii="Calibri" w:hAnsi="Calibri"/>
          <w:color w:val="525866"/>
          <w:sz w:val="22"/>
        </w:rPr>
        <w:t>: March was disrupted by geopolitical uncertainty (Iran war onset) and tariff-affected industries, but management noted many delayed deals closed in April — if that momentum held through May and June, CV growth ex-Federal could surprise to the upside and catalyze a meaningful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heading into Q2 — the street expects modest sequential improvement across all key metrics. </w:t>
      </w:r>
      <w:r>
        <w:rPr>
          <w:rFonts w:ascii="Calibri" w:hAnsi="Calibri"/>
          <w:b/>
          <w:color w:val="525866"/>
          <w:sz w:val="22"/>
        </w:rPr>
        <w:t>Total Contract Value (CV) acceleration is the bigger swing factor</w:t>
      </w:r>
      <w:r>
        <w:rPr>
          <w:rFonts w:ascii="Calibri" w:hAnsi="Calibri"/>
          <w:color w:val="525866"/>
          <w:sz w:val="22"/>
        </w:rPr>
        <w:t>: consensus at ~$5.29B implies only ~2% YoY growth, but ex-Federal momentum and the lapping of DOGE-driven cancellations could drive a positive surprise.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$1.511B</w:t>
            </w:r>
          </w:p>
        </w:tc>
        <w:tc>
          <w:tcPr>
            <w:tcW w:type="dxa" w:w="1234"/>
          </w:tcPr>
          <w:p>
            <w:r>
              <w:rPr>
                <w:rFonts w:ascii="Calibri" w:hAnsi="Calibri"/>
                <w:sz w:val="22"/>
              </w:rPr>
              <w:t>$1.687B</w:t>
            </w:r>
          </w:p>
        </w:tc>
        <w:tc>
          <w:tcPr>
            <w:tcW w:type="dxa" w:w="1234"/>
          </w:tcPr>
          <w:p>
            <w:r>
              <w:rPr>
                <w:rFonts w:ascii="Calibri" w:hAnsi="Calibri"/>
                <w:sz w:val="22"/>
              </w:rPr>
              <w:t>$1.647B</w:t>
            </w:r>
          </w:p>
        </w:tc>
        <w:tc>
          <w:tcPr>
            <w:tcW w:type="dxa" w:w="1234"/>
          </w:tcPr>
          <w:p>
            <w:r>
              <w:rPr>
                <w:rFonts w:ascii="Calibri" w:hAnsi="Calibri"/>
                <w:sz w:val="22"/>
              </w:rPr>
              <w:t>-2.4%</w:t>
            </w:r>
          </w:p>
        </w:tc>
        <w:tc>
          <w:tcPr>
            <w:tcW w:type="dxa" w:w="1234"/>
          </w:tcPr>
          <w:p>
            <w:r>
              <w:rPr>
                <w:rFonts w:ascii="Calibri" w:hAnsi="Calibri"/>
                <w:sz w:val="22"/>
              </w:rPr>
              <w:t>FY ≥$6.405B</w:t>
            </w:r>
          </w:p>
        </w:tc>
        <w:tc>
          <w:tcPr>
            <w:tcW w:type="dxa" w:w="1234"/>
          </w:tcPr>
          <w:p>
            <w:r>
              <w:rPr>
                <w:rFonts w:ascii="Calibri" w:hAnsi="Calibri"/>
                <w:sz w:val="22"/>
              </w:rPr>
              <w:t>N/A (Q2 specific)</w:t>
            </w:r>
          </w:p>
        </w:tc>
      </w:tr>
      <w:tr>
        <w:tc>
          <w:tcPr>
            <w:tcW w:type="dxa" w:w="1234"/>
          </w:tcPr>
          <w:p>
            <w:r>
              <w:rPr>
                <w:rFonts w:ascii="Calibri" w:hAnsi="Calibri"/>
                <w:sz w:val="22"/>
              </w:rPr>
              <w:t>Total Contract Value ($B)</w:t>
            </w:r>
          </w:p>
        </w:tc>
        <w:tc>
          <w:tcPr>
            <w:tcW w:type="dxa" w:w="1234"/>
          </w:tcPr>
          <w:p>
            <w:r>
              <w:rPr>
                <w:rFonts w:ascii="Calibri" w:hAnsi="Calibri"/>
                <w:sz w:val="22"/>
              </w:rPr>
              <w:t>$5.268B</w:t>
            </w:r>
          </w:p>
        </w:tc>
        <w:tc>
          <w:tcPr>
            <w:tcW w:type="dxa" w:w="1234"/>
          </w:tcPr>
          <w:p>
            <w:r>
              <w:rPr>
                <w:rFonts w:ascii="Calibri" w:hAnsi="Calibri"/>
                <w:sz w:val="22"/>
              </w:rPr>
              <w:t>$5.196B</w:t>
            </w:r>
          </w:p>
        </w:tc>
        <w:tc>
          <w:tcPr>
            <w:tcW w:type="dxa" w:w="1234"/>
          </w:tcPr>
          <w:p>
            <w:r>
              <w:rPr>
                <w:rFonts w:ascii="Calibri" w:hAnsi="Calibri"/>
                <w:sz w:val="22"/>
              </w:rPr>
              <w:t>$5.291B</w:t>
            </w:r>
          </w:p>
        </w:tc>
        <w:tc>
          <w:tcPr>
            <w:tcW w:type="dxa" w:w="1234"/>
          </w:tcPr>
          <w:p>
            <w:r>
              <w:rPr>
                <w:rFonts w:ascii="Calibri" w:hAnsi="Calibri"/>
                <w:sz w:val="22"/>
              </w:rPr>
              <w:t>+1.8%</w:t>
            </w:r>
          </w:p>
        </w:tc>
        <w:tc>
          <w:tcPr>
            <w:tcW w:type="dxa" w:w="1234"/>
          </w:tcPr>
          <w:p>
            <w:r>
              <w:rPr>
                <w:rFonts w:ascii="Calibri" w:hAnsi="Calibri"/>
                <w:sz w:val="22"/>
              </w:rPr>
              <w:t>Acceleration expected</w:t>
            </w:r>
          </w:p>
        </w:tc>
        <w:tc>
          <w:tcPr>
            <w:tcW w:type="dxa" w:w="1234"/>
          </w:tcPr>
          <w:p>
            <w:r>
              <w:rPr>
                <w:rFonts w:ascii="Calibri" w:hAnsi="Calibri"/>
                <w:sz w:val="22"/>
              </w:rPr>
              <w:t>N/A (no Q2 CV guide)</w:t>
            </w:r>
          </w:p>
        </w:tc>
      </w:tr>
      <w:tr>
        <w:tc>
          <w:tcPr>
            <w:tcW w:type="dxa" w:w="1234"/>
          </w:tcPr>
          <w:p>
            <w:r>
              <w:rPr>
                <w:rFonts w:ascii="Calibri" w:hAnsi="Calibri"/>
                <w:sz w:val="22"/>
              </w:rPr>
              <w:t>CV — GTS ($B)</w:t>
            </w:r>
          </w:p>
        </w:tc>
        <w:tc>
          <w:tcPr>
            <w:tcW w:type="dxa" w:w="1234"/>
          </w:tcPr>
          <w:p>
            <w:r>
              <w:rPr>
                <w:rFonts w:ascii="Calibri" w:hAnsi="Calibri"/>
                <w:sz w:val="22"/>
              </w:rPr>
              <w:t>$4.000B</w:t>
            </w:r>
          </w:p>
        </w:tc>
        <w:tc>
          <w:tcPr>
            <w:tcW w:type="dxa" w:w="1234"/>
          </w:tcPr>
          <w:p>
            <w:r>
              <w:rPr>
                <w:rFonts w:ascii="Calibri" w:hAnsi="Calibri"/>
                <w:sz w:val="22"/>
              </w:rPr>
              <w:t>$3.954B</w:t>
            </w:r>
          </w:p>
        </w:tc>
        <w:tc>
          <w:tcPr>
            <w:tcW w:type="dxa" w:w="1234"/>
          </w:tcPr>
          <w:p>
            <w:r>
              <w:rPr>
                <w:rFonts w:ascii="Calibri" w:hAnsi="Calibri"/>
                <w:sz w:val="22"/>
              </w:rPr>
              <w:t>$4.005B</w:t>
            </w:r>
          </w:p>
        </w:tc>
        <w:tc>
          <w:tcPr>
            <w:tcW w:type="dxa" w:w="1234"/>
          </w:tcPr>
          <w:p>
            <w:r>
              <w:rPr>
                <w:rFonts w:ascii="Calibri" w:hAnsi="Calibri"/>
                <w:sz w:val="22"/>
              </w:rPr>
              <w:t>+1.3%</w:t>
            </w:r>
          </w:p>
        </w:tc>
        <w:tc>
          <w:tcPr>
            <w:tcW w:type="dxa" w:w="1234"/>
          </w:tcPr>
          <w:p>
            <w:r>
              <w:rPr>
                <w:rFonts w:ascii="Calibri" w:hAnsi="Calibri"/>
                <w:sz w:val="22"/>
              </w:rPr>
              <w:t>Acceleration expected</w:t>
            </w:r>
          </w:p>
        </w:tc>
        <w:tc>
          <w:tcPr>
            <w:tcW w:type="dxa" w:w="1234"/>
          </w:tcPr>
          <w:p>
            <w:r>
              <w:rPr>
                <w:rFonts w:ascii="Calibri" w:hAnsi="Calibri"/>
                <w:sz w:val="22"/>
              </w:rPr>
              <w:t>N/A</w:t>
            </w:r>
          </w:p>
        </w:tc>
      </w:tr>
      <w:tr>
        <w:tc>
          <w:tcPr>
            <w:tcW w:type="dxa" w:w="1234"/>
          </w:tcPr>
          <w:p>
            <w:r>
              <w:rPr>
                <w:rFonts w:ascii="Calibri" w:hAnsi="Calibri"/>
                <w:sz w:val="22"/>
              </w:rPr>
              <w:t>CV — GBS ($B)</w:t>
            </w:r>
          </w:p>
        </w:tc>
        <w:tc>
          <w:tcPr>
            <w:tcW w:type="dxa" w:w="1234"/>
          </w:tcPr>
          <w:p>
            <w:r>
              <w:rPr>
                <w:rFonts w:ascii="Calibri" w:hAnsi="Calibri"/>
                <w:sz w:val="22"/>
              </w:rPr>
              <w:t>$1.268B</w:t>
            </w:r>
          </w:p>
        </w:tc>
        <w:tc>
          <w:tcPr>
            <w:tcW w:type="dxa" w:w="1234"/>
          </w:tcPr>
          <w:p>
            <w:r>
              <w:rPr>
                <w:rFonts w:ascii="Calibri" w:hAnsi="Calibri"/>
                <w:sz w:val="22"/>
              </w:rPr>
              <w:t>$1.242B</w:t>
            </w:r>
          </w:p>
        </w:tc>
        <w:tc>
          <w:tcPr>
            <w:tcW w:type="dxa" w:w="1234"/>
          </w:tcPr>
          <w:p>
            <w:r>
              <w:rPr>
                <w:rFonts w:ascii="Calibri" w:hAnsi="Calibri"/>
                <w:sz w:val="22"/>
              </w:rPr>
              <w:t>$1.286B</w:t>
            </w:r>
          </w:p>
        </w:tc>
        <w:tc>
          <w:tcPr>
            <w:tcW w:type="dxa" w:w="1234"/>
          </w:tcPr>
          <w:p>
            <w:r>
              <w:rPr>
                <w:rFonts w:ascii="Calibri" w:hAnsi="Calibri"/>
                <w:sz w:val="22"/>
              </w:rPr>
              <w:t>+3.5%</w:t>
            </w:r>
          </w:p>
        </w:tc>
        <w:tc>
          <w:tcPr>
            <w:tcW w:type="dxa" w:w="1234"/>
          </w:tcPr>
          <w:p>
            <w:r>
              <w:rPr>
                <w:rFonts w:ascii="Calibri" w:hAnsi="Calibri"/>
                <w:sz w:val="22"/>
              </w:rPr>
              <w:t>Acceleration expected</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$395M</w:t>
            </w:r>
          </w:p>
        </w:tc>
        <w:tc>
          <w:tcPr>
            <w:tcW w:type="dxa" w:w="1234"/>
          </w:tcPr>
          <w:p>
            <w:r>
              <w:rPr>
                <w:rFonts w:ascii="Calibri" w:hAnsi="Calibri"/>
                <w:sz w:val="22"/>
              </w:rPr>
              <w:t>$378M</w:t>
            </w:r>
          </w:p>
        </w:tc>
        <w:tc>
          <w:tcPr>
            <w:tcW w:type="dxa" w:w="1234"/>
          </w:tcPr>
          <w:p>
            <w:r>
              <w:rPr>
                <w:rFonts w:ascii="Calibri" w:hAnsi="Calibri"/>
                <w:sz w:val="22"/>
              </w:rPr>
              <w:t>$377M</w:t>
            </w:r>
          </w:p>
        </w:tc>
        <w:tc>
          <w:tcPr>
            <w:tcW w:type="dxa" w:w="1234"/>
          </w:tcPr>
          <w:p>
            <w:r>
              <w:rPr>
                <w:rFonts w:ascii="Calibri" w:hAnsi="Calibri"/>
                <w:sz w:val="22"/>
              </w:rPr>
              <w:t>-0.2%</w:t>
            </w:r>
          </w:p>
        </w:tc>
        <w:tc>
          <w:tcPr>
            <w:tcW w:type="dxa" w:w="1234"/>
          </w:tcPr>
          <w:p>
            <w:r>
              <w:rPr>
                <w:rFonts w:ascii="Calibri" w:hAnsi="Calibri"/>
                <w:sz w:val="22"/>
              </w:rPr>
              <w:t>≥$425M (Q2 floor)</w:t>
            </w:r>
          </w:p>
        </w:tc>
        <w:tc>
          <w:tcPr>
            <w:tcW w:type="dxa" w:w="1234"/>
          </w:tcPr>
          <w:p>
            <w:r>
              <w:rPr>
                <w:rFonts w:ascii="Calibri" w:hAnsi="Calibri"/>
                <w:sz w:val="22"/>
              </w:rPr>
              <w:t>-11.3% below guide floor</w:t>
            </w:r>
          </w:p>
        </w:tc>
      </w:tr>
      <w:tr>
        <w:tc>
          <w:tcPr>
            <w:tcW w:type="dxa" w:w="1234"/>
          </w:tcPr>
          <w:p>
            <w:r>
              <w:rPr>
                <w:rFonts w:ascii="Calibri" w:hAnsi="Calibri"/>
                <w:sz w:val="22"/>
              </w:rPr>
              <w:t>Operating EPS (Diluted)</w:t>
            </w:r>
          </w:p>
        </w:tc>
        <w:tc>
          <w:tcPr>
            <w:tcW w:type="dxa" w:w="1234"/>
          </w:tcPr>
          <w:p>
            <w:r>
              <w:rPr>
                <w:rFonts w:ascii="Calibri" w:hAnsi="Calibri"/>
                <w:sz w:val="22"/>
              </w:rPr>
              <w:t>$3.32</w:t>
            </w:r>
          </w:p>
        </w:tc>
        <w:tc>
          <w:tcPr>
            <w:tcW w:type="dxa" w:w="1234"/>
          </w:tcPr>
          <w:p>
            <w:r>
              <w:rPr>
                <w:rFonts w:ascii="Calibri" w:hAnsi="Calibri"/>
                <w:sz w:val="22"/>
              </w:rPr>
              <w:t>$3.53</w:t>
            </w:r>
          </w:p>
        </w:tc>
        <w:tc>
          <w:tcPr>
            <w:tcW w:type="dxa" w:w="1234"/>
          </w:tcPr>
          <w:p>
            <w:r>
              <w:rPr>
                <w:rFonts w:ascii="Calibri" w:hAnsi="Calibri"/>
                <w:sz w:val="22"/>
              </w:rPr>
              <w:t>$3.73</w:t>
            </w:r>
          </w:p>
        </w:tc>
        <w:tc>
          <w:tcPr>
            <w:tcW w:type="dxa" w:w="1234"/>
          </w:tcPr>
          <w:p>
            <w:r>
              <w:rPr>
                <w:rFonts w:ascii="Calibri" w:hAnsi="Calibri"/>
                <w:sz w:val="22"/>
              </w:rPr>
              <w:t>+5.7%</w:t>
            </w:r>
          </w:p>
        </w:tc>
        <w:tc>
          <w:tcPr>
            <w:tcW w:type="dxa" w:w="1234"/>
          </w:tcPr>
          <w:p>
            <w:r>
              <w:rPr>
                <w:rFonts w:ascii="Calibri" w:hAnsi="Calibri"/>
                <w:sz w:val="22"/>
              </w:rPr>
              <w:t>FY ≥$13.25</w:t>
            </w:r>
          </w:p>
        </w:tc>
        <w:tc>
          <w:tcPr>
            <w:tcW w:type="dxa" w:w="1234"/>
          </w:tcPr>
          <w:p>
            <w:r>
              <w:rPr>
                <w:rFonts w:ascii="Calibri" w:hAnsi="Calibri"/>
                <w:sz w:val="22"/>
              </w:rPr>
              <w:t>N/A (Q2 specific)</w:t>
            </w:r>
          </w:p>
        </w:tc>
      </w:tr>
      <w:tr>
        <w:tc>
          <w:tcPr>
            <w:tcW w:type="dxa" w:w="1234"/>
          </w:tcPr>
          <w:p>
            <w:r>
              <w:rPr>
                <w:rFonts w:ascii="Calibri" w:hAnsi="Calibri"/>
                <w:sz w:val="22"/>
              </w:rPr>
              <w:t>Wallet Retention — GTS (%)</w:t>
            </w:r>
          </w:p>
        </w:tc>
        <w:tc>
          <w:tcPr>
            <w:tcW w:type="dxa" w:w="1234"/>
          </w:tcPr>
          <w:p>
            <w:r>
              <w:rPr>
                <w:rFonts w:ascii="Calibri" w:hAnsi="Calibri"/>
                <w:sz w:val="22"/>
              </w:rPr>
              <w:t>96.5%</w:t>
            </w:r>
          </w:p>
        </w:tc>
        <w:tc>
          <w:tcPr>
            <w:tcW w:type="dxa" w:w="1234"/>
          </w:tcPr>
          <w:p>
            <w:r>
              <w:rPr>
                <w:rFonts w:ascii="Calibri" w:hAnsi="Calibri"/>
                <w:sz w:val="22"/>
              </w:rPr>
              <w:t>99.3%</w:t>
            </w:r>
          </w:p>
        </w:tc>
        <w:tc>
          <w:tcPr>
            <w:tcW w:type="dxa" w:w="1234"/>
          </w:tcPr>
          <w:p>
            <w:r>
              <w:rPr>
                <w:rFonts w:ascii="Calibri" w:hAnsi="Calibri"/>
                <w:sz w:val="22"/>
              </w:rPr>
              <w:t>97.3%</w:t>
            </w:r>
          </w:p>
        </w:tc>
        <w:tc>
          <w:tcPr>
            <w:tcW w:type="dxa" w:w="1234"/>
          </w:tcPr>
          <w:p>
            <w:r>
              <w:rPr>
                <w:rFonts w:ascii="Calibri" w:hAnsi="Calibri"/>
                <w:sz w:val="22"/>
              </w:rPr>
              <w:t>-200 bps</w:t>
            </w:r>
          </w:p>
        </w:tc>
        <w:tc>
          <w:tcPr>
            <w:tcW w:type="dxa" w:w="1234"/>
          </w:tcPr>
          <w:p>
            <w:r>
              <w:rPr>
                <w:rFonts w:ascii="Calibri" w:hAnsi="Calibri"/>
                <w:sz w:val="22"/>
              </w:rPr>
              <w:t>Improvement expected</w:t>
            </w:r>
          </w:p>
        </w:tc>
        <w:tc>
          <w:tcPr>
            <w:tcW w:type="dxa" w:w="1234"/>
          </w:tcPr>
          <w:p>
            <w:r>
              <w:rPr>
                <w:rFonts w:ascii="Calibri" w:hAnsi="Calibri"/>
                <w:sz w:val="22"/>
              </w:rPr>
              <w:t>N/A</w:t>
            </w:r>
          </w:p>
        </w:tc>
      </w:tr>
      <w:tr>
        <w:tc>
          <w:tcPr>
            <w:tcW w:type="dxa" w:w="1234"/>
          </w:tcPr>
          <w:p>
            <w:r>
              <w:rPr>
                <w:rFonts w:ascii="Calibri" w:hAnsi="Calibri"/>
                <w:sz w:val="22"/>
              </w:rPr>
              <w:t>Wallet Retention — GBS (%)</w:t>
            </w:r>
          </w:p>
        </w:tc>
        <w:tc>
          <w:tcPr>
            <w:tcW w:type="dxa" w:w="1234"/>
          </w:tcPr>
          <w:p>
            <w:r>
              <w:rPr>
                <w:rFonts w:ascii="Calibri" w:hAnsi="Calibri"/>
                <w:sz w:val="22"/>
              </w:rPr>
              <w:t>98.3%</w:t>
            </w:r>
          </w:p>
        </w:tc>
        <w:tc>
          <w:tcPr>
            <w:tcW w:type="dxa" w:w="1234"/>
          </w:tcPr>
          <w:p>
            <w:r>
              <w:rPr>
                <w:rFonts w:ascii="Calibri" w:hAnsi="Calibri"/>
                <w:sz w:val="22"/>
              </w:rPr>
              <w:t>103.7%</w:t>
            </w:r>
          </w:p>
        </w:tc>
        <w:tc>
          <w:tcPr>
            <w:tcW w:type="dxa" w:w="1234"/>
          </w:tcPr>
          <w:p>
            <w:r>
              <w:rPr>
                <w:rFonts w:ascii="Calibri" w:hAnsi="Calibri"/>
                <w:sz w:val="22"/>
              </w:rPr>
              <w:t>98.6%</w:t>
            </w:r>
          </w:p>
        </w:tc>
        <w:tc>
          <w:tcPr>
            <w:tcW w:type="dxa" w:w="1234"/>
          </w:tcPr>
          <w:p>
            <w:r>
              <w:rPr>
                <w:rFonts w:ascii="Calibri" w:hAnsi="Calibri"/>
                <w:sz w:val="22"/>
              </w:rPr>
              <w:t>-510 bps</w:t>
            </w:r>
          </w:p>
        </w:tc>
        <w:tc>
          <w:tcPr>
            <w:tcW w:type="dxa" w:w="1234"/>
          </w:tcPr>
          <w:p>
            <w:r>
              <w:rPr>
                <w:rFonts w:ascii="Calibri" w:hAnsi="Calibri"/>
                <w:sz w:val="22"/>
              </w:rPr>
              <w:t>Improvement expected</w:t>
            </w:r>
          </w:p>
        </w:tc>
        <w:tc>
          <w:tcPr>
            <w:tcW w:type="dxa" w:w="1234"/>
          </w:tcPr>
          <w:p>
            <w:r>
              <w:rPr>
                <w:rFonts w:ascii="Calibri" w:hAnsi="Calibri"/>
                <w:sz w:val="22"/>
              </w:rPr>
              <w:t>N/A</w:t>
            </w:r>
          </w:p>
        </w:tc>
      </w:tr>
      <w:tr>
        <w:tc>
          <w:tcPr>
            <w:tcW w:type="dxa" w:w="1234"/>
          </w:tcPr>
          <w:p>
            <w:r>
              <w:rPr>
                <w:rFonts w:ascii="Calibri" w:hAnsi="Calibri"/>
                <w:sz w:val="22"/>
              </w:rPr>
              <w:t>Insights Revenue ($B)</w:t>
            </w:r>
          </w:p>
        </w:tc>
        <w:tc>
          <w:tcPr>
            <w:tcW w:type="dxa" w:w="1234"/>
          </w:tcPr>
          <w:p>
            <w:r>
              <w:rPr>
                <w:rFonts w:ascii="Calibri" w:hAnsi="Calibri"/>
                <w:sz w:val="22"/>
              </w:rPr>
              <w:t>$1.294B</w:t>
            </w:r>
          </w:p>
        </w:tc>
        <w:tc>
          <w:tcPr>
            <w:tcW w:type="dxa" w:w="1234"/>
          </w:tcPr>
          <w:p>
            <w:r>
              <w:rPr>
                <w:rFonts w:ascii="Calibri" w:hAnsi="Calibri"/>
                <w:sz w:val="22"/>
              </w:rPr>
              <w:t>$1.264B</w:t>
            </w:r>
          </w:p>
        </w:tc>
        <w:tc>
          <w:tcPr>
            <w:tcW w:type="dxa" w:w="1234"/>
          </w:tcPr>
          <w:p>
            <w:r>
              <w:rPr>
                <w:rFonts w:ascii="Calibri" w:hAnsi="Calibri"/>
                <w:sz w:val="22"/>
              </w:rPr>
              <w:t>$1.288B</w:t>
            </w:r>
          </w:p>
        </w:tc>
        <w:tc>
          <w:tcPr>
            <w:tcW w:type="dxa" w:w="1234"/>
          </w:tcPr>
          <w:p>
            <w:r>
              <w:rPr>
                <w:rFonts w:ascii="Calibri" w:hAnsi="Calibri"/>
                <w:sz w:val="22"/>
              </w:rPr>
              <w:t>+1.9%</w:t>
            </w:r>
          </w:p>
        </w:tc>
        <w:tc>
          <w:tcPr>
            <w:tcW w:type="dxa" w:w="1234"/>
          </w:tcPr>
          <w:p>
            <w:r>
              <w:rPr>
                <w:rFonts w:ascii="Calibri" w:hAnsi="Calibri"/>
                <w:sz w:val="22"/>
              </w:rPr>
              <w:t>FY ≥$5.198B</w:t>
            </w:r>
          </w:p>
        </w:tc>
        <w:tc>
          <w:tcPr>
            <w:tcW w:type="dxa" w:w="1234"/>
          </w:tcPr>
          <w:p>
            <w:r>
              <w:rPr>
                <w:rFonts w:ascii="Calibri" w:hAnsi="Calibri"/>
                <w:sz w:val="22"/>
              </w:rPr>
              <w:t>N/A (Q2 specific)</w:t>
            </w:r>
          </w:p>
        </w:tc>
      </w:tr>
      <w:tr>
        <w:tc>
          <w:tcPr>
            <w:tcW w:type="dxa" w:w="1234"/>
          </w:tcPr>
          <w:p>
            <w:r>
              <w:rPr>
                <w:rFonts w:ascii="Calibri" w:hAnsi="Calibri"/>
                <w:sz w:val="22"/>
              </w:rPr>
              <w:t>Consulting Revenue ($M)</w:t>
            </w:r>
          </w:p>
        </w:tc>
        <w:tc>
          <w:tcPr>
            <w:tcW w:type="dxa" w:w="1234"/>
          </w:tcPr>
          <w:p>
            <w:r>
              <w:rPr>
                <w:rFonts w:ascii="Calibri" w:hAnsi="Calibri"/>
                <w:sz w:val="22"/>
              </w:rPr>
              <w:t>$119M</w:t>
            </w:r>
          </w:p>
        </w:tc>
        <w:tc>
          <w:tcPr>
            <w:tcW w:type="dxa" w:w="1234"/>
          </w:tcPr>
          <w:p>
            <w:r>
              <w:rPr>
                <w:rFonts w:ascii="Calibri" w:hAnsi="Calibri"/>
                <w:sz w:val="22"/>
              </w:rPr>
              <w:t>$156M</w:t>
            </w:r>
          </w:p>
        </w:tc>
        <w:tc>
          <w:tcPr>
            <w:tcW w:type="dxa" w:w="1234"/>
          </w:tcPr>
          <w:p>
            <w:r>
              <w:rPr>
                <w:rFonts w:ascii="Calibri" w:hAnsi="Calibri"/>
                <w:sz w:val="22"/>
              </w:rPr>
              <w:t>$139M</w:t>
            </w:r>
          </w:p>
        </w:tc>
        <w:tc>
          <w:tcPr>
            <w:tcW w:type="dxa" w:w="1234"/>
          </w:tcPr>
          <w:p>
            <w:r>
              <w:rPr>
                <w:rFonts w:ascii="Calibri" w:hAnsi="Calibri"/>
                <w:sz w:val="22"/>
              </w:rPr>
              <w:t>-10.9%</w:t>
            </w:r>
          </w:p>
        </w:tc>
        <w:tc>
          <w:tcPr>
            <w:tcW w:type="dxa" w:w="1234"/>
          </w:tcPr>
          <w:p>
            <w:r>
              <w:rPr>
                <w:rFonts w:ascii="Calibri" w:hAnsi="Calibri"/>
                <w:sz w:val="22"/>
              </w:rPr>
              <w:t>Prudent / de-risked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$371M</w:t>
            </w:r>
          </w:p>
        </w:tc>
        <w:tc>
          <w:tcPr>
            <w:tcW w:type="dxa" w:w="1234"/>
          </w:tcPr>
          <w:p>
            <w:r>
              <w:rPr>
                <w:rFonts w:ascii="Calibri" w:hAnsi="Calibri"/>
                <w:sz w:val="22"/>
              </w:rPr>
              <w:t>$347M</w:t>
            </w:r>
          </w:p>
        </w:tc>
        <w:tc>
          <w:tcPr>
            <w:tcW w:type="dxa" w:w="1234"/>
          </w:tcPr>
          <w:p>
            <w:r>
              <w:rPr>
                <w:rFonts w:ascii="Calibri" w:hAnsi="Calibri"/>
                <w:sz w:val="22"/>
              </w:rPr>
              <w:t>$258M</w:t>
            </w:r>
          </w:p>
        </w:tc>
        <w:tc>
          <w:tcPr>
            <w:tcW w:type="dxa" w:w="1234"/>
          </w:tcPr>
          <w:p>
            <w:r>
              <w:rPr>
                <w:rFonts w:ascii="Calibri" w:hAnsi="Calibri"/>
                <w:sz w:val="22"/>
              </w:rPr>
              <w:t>-25.7%</w:t>
            </w:r>
          </w:p>
        </w:tc>
        <w:tc>
          <w:tcPr>
            <w:tcW w:type="dxa" w:w="1234"/>
          </w:tcPr>
          <w:p>
            <w:r>
              <w:rPr>
                <w:rFonts w:ascii="Calibri" w:hAnsi="Calibri"/>
                <w:sz w:val="22"/>
              </w:rPr>
              <w:t>FY ≥$1.16B</w:t>
            </w:r>
          </w:p>
        </w:tc>
        <w:tc>
          <w:tcPr>
            <w:tcW w:type="dxa" w:w="1234"/>
          </w:tcPr>
          <w:p>
            <w:r>
              <w:rPr>
                <w:rFonts w:ascii="Calibri" w:hAnsi="Calibri"/>
                <w:sz w:val="22"/>
              </w:rPr>
              <w:t>N/A (Q2 specific)</w:t>
            </w:r>
          </w:p>
        </w:tc>
      </w:tr>
    </w:tbl>
    <w:p>
      <w:r>
        <w:rPr>
          <w:rFonts w:ascii="Calibri" w:hAnsi="Calibri"/>
          <w:i/>
          <w:color w:val="525866"/>
          <w:sz w:val="22"/>
        </w:rPr>
        <w:t>Source: Visible Alpha consensus and actuals data. Q2 2026 consensus as of August 3, 2026. Q2 EBITDA guidance floor of ≥$425M is from the Q1 2026 earnings call (May 5, 2026). Note: consensus EBITDA of ~$377M sits 11% below management’s stated Q2 floor — this gap likely reflects the street modeling conservatively and implies meaningful upside if management delivers at or above its own floor.</w:t>
      </w:r>
    </w:p>
    <w:p>
      <w:pPr>
        <w:pStyle w:val="Heading3"/>
      </w:pPr>
      <w:r>
        <w:rPr>
          <w:rFonts w:ascii="Calibri" w:hAnsi="Calibri"/>
          <w:b/>
          <w:color w:val="3B4259"/>
          <w:sz w:val="24"/>
        </w:rPr>
        <w:t>Table 2 — Beat/Miss History: Last 8 Quarters (Top 2 KPIs: Total CV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CV ($B)</w:t>
            </w:r>
          </w:p>
        </w:tc>
        <w:tc>
          <w:tcPr>
            <w:tcW w:type="dxa" w:w="1440"/>
          </w:tcPr>
          <w:p>
            <w:r>
              <w:rPr>
                <w:rFonts w:ascii="Calibri" w:hAnsi="Calibri"/>
                <w:sz w:val="22"/>
              </w:rPr>
              <w:t>$5.268B</w:t>
            </w:r>
          </w:p>
        </w:tc>
        <w:tc>
          <w:tcPr>
            <w:tcW w:type="dxa" w:w="1440"/>
          </w:tcPr>
          <w:p>
            <w:r>
              <w:rPr>
                <w:rFonts w:ascii="Calibri" w:hAnsi="Calibri"/>
                <w:sz w:val="22"/>
              </w:rPr>
              <w:t>$5.152B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 ($)</w:t>
            </w:r>
          </w:p>
        </w:tc>
        <w:tc>
          <w:tcPr>
            <w:tcW w:type="dxa" w:w="1440"/>
          </w:tcPr>
          <w:p>
            <w:r>
              <w:rPr>
                <w:rFonts w:ascii="Calibri" w:hAnsi="Calibri"/>
                <w:sz w:val="22"/>
              </w:rPr>
              <w:t>$3.32</w:t>
            </w:r>
          </w:p>
        </w:tc>
        <w:tc>
          <w:tcPr>
            <w:tcW w:type="dxa" w:w="1440"/>
          </w:tcPr>
          <w:p>
            <w:r>
              <w:rPr>
                <w:rFonts w:ascii="Calibri" w:hAnsi="Calibri"/>
                <w:sz w:val="22"/>
              </w:rPr>
              <w:t>$2.89</w:t>
            </w:r>
          </w:p>
        </w:tc>
        <w:tc>
          <w:tcPr>
            <w:tcW w:type="dxa" w:w="1440"/>
          </w:tcPr>
          <w:p>
            <w:r>
              <w:rPr>
                <w:rFonts w:ascii="Calibri" w:hAnsi="Calibri"/>
                <w:b/>
                <w:color w:val="30A46C"/>
                <w:sz w:val="22"/>
              </w:rPr>
              <w:t>+14.9%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CV ($B)</w:t>
            </w:r>
          </w:p>
        </w:tc>
        <w:tc>
          <w:tcPr>
            <w:tcW w:type="dxa" w:w="1440"/>
          </w:tcPr>
          <w:p>
            <w:r>
              <w:rPr>
                <w:rFonts w:ascii="Calibri" w:hAnsi="Calibri"/>
                <w:sz w:val="22"/>
              </w:rPr>
              <w:t>$5.324B</w:t>
            </w:r>
          </w:p>
        </w:tc>
        <w:tc>
          <w:tcPr>
            <w:tcW w:type="dxa" w:w="1440"/>
          </w:tcPr>
          <w:p>
            <w:r>
              <w:rPr>
                <w:rFonts w:ascii="Calibri" w:hAnsi="Calibri"/>
                <w:sz w:val="22"/>
              </w:rPr>
              <w:t>$5.210B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 ($)</w:t>
            </w:r>
          </w:p>
        </w:tc>
        <w:tc>
          <w:tcPr>
            <w:tcW w:type="dxa" w:w="1440"/>
          </w:tcPr>
          <w:p>
            <w:r>
              <w:rPr>
                <w:rFonts w:ascii="Calibri" w:hAnsi="Calibri"/>
                <w:sz w:val="22"/>
              </w:rPr>
              <w:t>$3.94</w:t>
            </w:r>
          </w:p>
        </w:tc>
        <w:tc>
          <w:tcPr>
            <w:tcW w:type="dxa" w:w="1440"/>
          </w:tcPr>
          <w:p>
            <w:r>
              <w:rPr>
                <w:rFonts w:ascii="Calibri" w:hAnsi="Calibri"/>
                <w:sz w:val="22"/>
              </w:rPr>
              <w:t>$3.50</w:t>
            </w:r>
          </w:p>
        </w:tc>
        <w:tc>
          <w:tcPr>
            <w:tcW w:type="dxa" w:w="1440"/>
          </w:tcPr>
          <w:p>
            <w:r>
              <w:rPr>
                <w:rFonts w:ascii="Calibri" w:hAnsi="Calibri"/>
                <w:b/>
                <w:color w:val="30A46C"/>
                <w:sz w:val="22"/>
              </w:rPr>
              <w:t>+12.6%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CV ($B)</w:t>
            </w:r>
          </w:p>
        </w:tc>
        <w:tc>
          <w:tcPr>
            <w:tcW w:type="dxa" w:w="1440"/>
          </w:tcPr>
          <w:p>
            <w:r>
              <w:rPr>
                <w:rFonts w:ascii="Calibri" w:hAnsi="Calibri"/>
                <w:sz w:val="22"/>
              </w:rPr>
              <w:t>$5.211B</w:t>
            </w:r>
          </w:p>
        </w:tc>
        <w:tc>
          <w:tcPr>
            <w:tcW w:type="dxa" w:w="1440"/>
          </w:tcPr>
          <w:p>
            <w:r>
              <w:rPr>
                <w:rFonts w:ascii="Calibri" w:hAnsi="Calibri"/>
                <w:sz w:val="22"/>
              </w:rPr>
              <w:t>$5.091B</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 ($)</w:t>
            </w:r>
          </w:p>
        </w:tc>
        <w:tc>
          <w:tcPr>
            <w:tcW w:type="dxa" w:w="1440"/>
          </w:tcPr>
          <w:p>
            <w:r>
              <w:rPr>
                <w:rFonts w:ascii="Calibri" w:hAnsi="Calibri"/>
                <w:sz w:val="22"/>
              </w:rPr>
              <w:t>$2.76</w:t>
            </w:r>
          </w:p>
        </w:tc>
        <w:tc>
          <w:tcPr>
            <w:tcW w:type="dxa" w:w="1440"/>
          </w:tcPr>
          <w:p>
            <w:r>
              <w:rPr>
                <w:rFonts w:ascii="Calibri" w:hAnsi="Calibri"/>
                <w:sz w:val="22"/>
              </w:rPr>
              <w:t>$2.45</w:t>
            </w:r>
          </w:p>
        </w:tc>
        <w:tc>
          <w:tcPr>
            <w:tcW w:type="dxa" w:w="1440"/>
          </w:tcPr>
          <w:p>
            <w:r>
              <w:rPr>
                <w:rFonts w:ascii="Calibri" w:hAnsi="Calibri"/>
                <w:b/>
                <w:color w:val="30A46C"/>
                <w:sz w:val="22"/>
              </w:rPr>
              <w:t>+12.7%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CV ($B)</w:t>
            </w:r>
          </w:p>
        </w:tc>
        <w:tc>
          <w:tcPr>
            <w:tcW w:type="dxa" w:w="1440"/>
          </w:tcPr>
          <w:p>
            <w:r>
              <w:rPr>
                <w:rFonts w:ascii="Calibri" w:hAnsi="Calibri"/>
                <w:sz w:val="22"/>
              </w:rPr>
              <w:t>$5.196B</w:t>
            </w:r>
          </w:p>
        </w:tc>
        <w:tc>
          <w:tcPr>
            <w:tcW w:type="dxa" w:w="1440"/>
          </w:tcPr>
          <w:p>
            <w:r>
              <w:rPr>
                <w:rFonts w:ascii="Calibri" w:hAnsi="Calibri"/>
                <w:sz w:val="22"/>
              </w:rPr>
              <w:t>$5.108B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 ($)</w:t>
            </w:r>
          </w:p>
        </w:tc>
        <w:tc>
          <w:tcPr>
            <w:tcW w:type="dxa" w:w="1440"/>
          </w:tcPr>
          <w:p>
            <w:r>
              <w:rPr>
                <w:rFonts w:ascii="Calibri" w:hAnsi="Calibri"/>
                <w:sz w:val="22"/>
              </w:rPr>
              <w:t>$3.53</w:t>
            </w:r>
          </w:p>
        </w:tc>
        <w:tc>
          <w:tcPr>
            <w:tcW w:type="dxa" w:w="1440"/>
          </w:tcPr>
          <w:p>
            <w:r>
              <w:rPr>
                <w:rFonts w:ascii="Calibri" w:hAnsi="Calibri"/>
                <w:sz w:val="22"/>
              </w:rPr>
              <w:t>$3.32</w:t>
            </w:r>
          </w:p>
        </w:tc>
        <w:tc>
          <w:tcPr>
            <w:tcW w:type="dxa" w:w="1440"/>
          </w:tcPr>
          <w:p>
            <w:r>
              <w:rPr>
                <w:rFonts w:ascii="Calibri" w:hAnsi="Calibri"/>
                <w:b/>
                <w:color w:val="30A46C"/>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CV ($B)</w:t>
            </w:r>
          </w:p>
        </w:tc>
        <w:tc>
          <w:tcPr>
            <w:tcW w:type="dxa" w:w="1440"/>
          </w:tcPr>
          <w:p>
            <w:r>
              <w:rPr>
                <w:rFonts w:ascii="Calibri" w:hAnsi="Calibri"/>
                <w:sz w:val="22"/>
              </w:rPr>
              <w:t>$5.214B</w:t>
            </w:r>
          </w:p>
        </w:tc>
        <w:tc>
          <w:tcPr>
            <w:tcW w:type="dxa" w:w="1440"/>
          </w:tcPr>
          <w:p>
            <w:r>
              <w:rPr>
                <w:rFonts w:ascii="Calibri" w:hAnsi="Calibri"/>
                <w:sz w:val="22"/>
              </w:rPr>
              <w:t>$5.140B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 ($)</w:t>
            </w:r>
          </w:p>
        </w:tc>
        <w:tc>
          <w:tcPr>
            <w:tcW w:type="dxa" w:w="1440"/>
          </w:tcPr>
          <w:p>
            <w:r>
              <w:rPr>
                <w:rFonts w:ascii="Calibri" w:hAnsi="Calibri"/>
                <w:sz w:val="22"/>
              </w:rPr>
              <w:t>$2.98</w:t>
            </w:r>
          </w:p>
        </w:tc>
        <w:tc>
          <w:tcPr>
            <w:tcW w:type="dxa" w:w="1440"/>
          </w:tcPr>
          <w:p>
            <w:r>
              <w:rPr>
                <w:rFonts w:ascii="Calibri" w:hAnsi="Calibri"/>
                <w:sz w:val="22"/>
              </w:rPr>
              <w:t>$2.73</w:t>
            </w:r>
          </w:p>
        </w:tc>
        <w:tc>
          <w:tcPr>
            <w:tcW w:type="dxa" w:w="1440"/>
          </w:tcPr>
          <w:p>
            <w:r>
              <w:rPr>
                <w:rFonts w:ascii="Calibri" w:hAnsi="Calibri"/>
                <w:b/>
                <w:color w:val="30A46C"/>
                <w:sz w:val="22"/>
              </w:rPr>
              <w:t>+9.2%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CV ($B)</w:t>
            </w:r>
          </w:p>
        </w:tc>
        <w:tc>
          <w:tcPr>
            <w:tcW w:type="dxa" w:w="1440"/>
          </w:tcPr>
          <w:p>
            <w:r>
              <w:rPr>
                <w:rFonts w:ascii="Calibri" w:hAnsi="Calibri"/>
                <w:sz w:val="22"/>
              </w:rPr>
              <w:t>$5.278B</w:t>
            </w:r>
          </w:p>
        </w:tc>
        <w:tc>
          <w:tcPr>
            <w:tcW w:type="dxa" w:w="1440"/>
          </w:tcPr>
          <w:p>
            <w:r>
              <w:rPr>
                <w:rFonts w:ascii="Calibri" w:hAnsi="Calibri"/>
                <w:sz w:val="22"/>
              </w:rPr>
              <w:t>$5.249B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 ($)</w:t>
            </w:r>
          </w:p>
        </w:tc>
        <w:tc>
          <w:tcPr>
            <w:tcW w:type="dxa" w:w="1440"/>
          </w:tcPr>
          <w:p>
            <w:r>
              <w:rPr>
                <w:rFonts w:ascii="Calibri" w:hAnsi="Calibri"/>
                <w:sz w:val="22"/>
              </w:rPr>
              <w:t>$5.45</w:t>
            </w:r>
          </w:p>
        </w:tc>
        <w:tc>
          <w:tcPr>
            <w:tcW w:type="dxa" w:w="1440"/>
          </w:tcPr>
          <w:p>
            <w:r>
              <w:rPr>
                <w:rFonts w:ascii="Calibri" w:hAnsi="Calibri"/>
                <w:sz w:val="22"/>
              </w:rPr>
              <w:t>$3.25</w:t>
            </w:r>
          </w:p>
        </w:tc>
        <w:tc>
          <w:tcPr>
            <w:tcW w:type="dxa" w:w="1440"/>
          </w:tcPr>
          <w:p>
            <w:r>
              <w:rPr>
                <w:rFonts w:ascii="Calibri" w:hAnsi="Calibri"/>
                <w:b/>
                <w:color w:val="30A46C"/>
                <w:sz w:val="22"/>
              </w:rPr>
              <w:t>+67.8%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CV ($B)</w:t>
            </w:r>
          </w:p>
        </w:tc>
        <w:tc>
          <w:tcPr>
            <w:tcW w:type="dxa" w:w="1440"/>
          </w:tcPr>
          <w:p>
            <w:r>
              <w:rPr>
                <w:rFonts w:ascii="Calibri" w:hAnsi="Calibri"/>
                <w:sz w:val="22"/>
              </w:rPr>
              <w:t>$5.056B</w:t>
            </w:r>
          </w:p>
        </w:tc>
        <w:tc>
          <w:tcPr>
            <w:tcW w:type="dxa" w:w="1440"/>
          </w:tcPr>
          <w:p>
            <w:r>
              <w:rPr>
                <w:rFonts w:ascii="Calibri" w:hAnsi="Calibri"/>
                <w:sz w:val="22"/>
              </w:rPr>
              <w:t>$5.050B</w:t>
            </w:r>
          </w:p>
        </w:tc>
        <w:tc>
          <w:tcPr>
            <w:tcW w:type="dxa" w:w="1440"/>
          </w:tcPr>
          <w:p>
            <w:r>
              <w:rPr>
                <w:rFonts w:ascii="Calibri" w:hAnsi="Calibri"/>
                <w:b/>
                <w:color w:val="30A46C"/>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 EPS ($)</w:t>
            </w:r>
          </w:p>
        </w:tc>
        <w:tc>
          <w:tcPr>
            <w:tcW w:type="dxa" w:w="1440"/>
          </w:tcPr>
          <w:p>
            <w:r>
              <w:rPr>
                <w:rFonts w:ascii="Calibri" w:hAnsi="Calibri"/>
                <w:sz w:val="22"/>
              </w:rPr>
              <w:t>$2.50</w:t>
            </w:r>
          </w:p>
        </w:tc>
        <w:tc>
          <w:tcPr>
            <w:tcW w:type="dxa" w:w="1440"/>
          </w:tcPr>
          <w:p>
            <w:r>
              <w:rPr>
                <w:rFonts w:ascii="Calibri" w:hAnsi="Calibri"/>
                <w:sz w:val="22"/>
              </w:rPr>
              <w:t>$2.38</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CV ($B)</w:t>
            </w:r>
          </w:p>
        </w:tc>
        <w:tc>
          <w:tcPr>
            <w:tcW w:type="dxa" w:w="1440"/>
          </w:tcPr>
          <w:p>
            <w:r>
              <w:rPr>
                <w:rFonts w:ascii="Calibri" w:hAnsi="Calibri"/>
                <w:sz w:val="22"/>
              </w:rPr>
              <w:t>$4.949B</w:t>
            </w:r>
          </w:p>
        </w:tc>
        <w:tc>
          <w:tcPr>
            <w:tcW w:type="dxa" w:w="1440"/>
          </w:tcPr>
          <w:p>
            <w:r>
              <w:rPr>
                <w:rFonts w:ascii="Calibri" w:hAnsi="Calibri"/>
                <w:sz w:val="22"/>
              </w:rPr>
              <w:t>$4.911B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 ($)</w:t>
            </w:r>
          </w:p>
        </w:tc>
        <w:tc>
          <w:tcPr>
            <w:tcW w:type="dxa" w:w="1440"/>
          </w:tcPr>
          <w:p>
            <w:r>
              <w:rPr>
                <w:rFonts w:ascii="Calibri" w:hAnsi="Calibri"/>
                <w:sz w:val="22"/>
              </w:rPr>
              <w:t>$3.22</w:t>
            </w:r>
          </w:p>
        </w:tc>
        <w:tc>
          <w:tcPr>
            <w:tcW w:type="dxa" w:w="1440"/>
          </w:tcPr>
          <w:p>
            <w:r>
              <w:rPr>
                <w:rFonts w:ascii="Calibri" w:hAnsi="Calibri"/>
                <w:sz w:val="22"/>
              </w:rPr>
              <w:t>$3.03</w:t>
            </w:r>
          </w:p>
        </w:tc>
        <w:tc>
          <w:tcPr>
            <w:tcW w:type="dxa" w:w="1440"/>
          </w:tcPr>
          <w:p>
            <w:r>
              <w:rPr>
                <w:rFonts w:ascii="Calibri" w:hAnsi="Calibri"/>
                <w:b/>
                <w:color w:val="30A46C"/>
                <w:sz w:val="22"/>
              </w:rPr>
              <w:t>+6.3%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Gartner has beaten consensus on both Total CV and Operating EPS in every one of the last 8 quarters, with EPS beats consistently in the high single-digit to mid-teens range — the street has systematically underestimated Gartner’s earnings power, and there is no reason to expect that pattern to break in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EBITDA, EPS, and free cash flow guidance at Q1 earnings (May 5, 2026) — the new EBITDA margin floor of 24.1% is the most important shift, as it resets the baseline upward. </w:t>
      </w:r>
      <w:r>
        <w:rPr>
          <w:rFonts w:ascii="Calibri" w:hAnsi="Calibri"/>
          <w:b/>
          <w:color w:val="525866"/>
          <w:sz w:val="22"/>
        </w:rPr>
        <w:t>No post-earnings guidance revisions have been issued since the Q1 print; the Q1 call guidance stands as current.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EBITDA</w:t>
            </w:r>
          </w:p>
        </w:tc>
        <w:tc>
          <w:tcPr>
            <w:tcW w:type="dxa" w:w="1728"/>
          </w:tcPr>
          <w:p>
            <w:r>
              <w:rPr>
                <w:rFonts w:ascii="Calibri" w:hAnsi="Calibri"/>
                <w:sz w:val="22"/>
              </w:rPr>
              <w:t>≥$425M</w:t>
            </w:r>
          </w:p>
        </w:tc>
        <w:tc>
          <w:tcPr>
            <w:tcW w:type="dxa" w:w="1728"/>
          </w:tcPr>
          <w:p>
            <w:r>
              <w:rPr>
                <w:rFonts w:ascii="Calibri" w:hAnsi="Calibri"/>
                <w:sz w:val="22"/>
              </w:rPr>
              <w:t>—</w:t>
            </w:r>
          </w:p>
        </w:tc>
        <w:tc>
          <w:tcPr>
            <w:tcW w:type="dxa" w:w="1728"/>
          </w:tcPr>
          <w:p>
            <w:r>
              <w:rPr>
                <w:rFonts w:ascii="Calibri" w:hAnsi="Calibri"/>
                <w:sz w:val="22"/>
              </w:rPr>
              <w:t>~$377M</w:t>
            </w:r>
          </w:p>
        </w:tc>
        <w:tc>
          <w:tcPr>
            <w:tcW w:type="dxa" w:w="1728"/>
          </w:tcPr>
          <w:p>
            <w:r>
              <w:rPr>
                <w:rFonts w:ascii="Calibri" w:hAnsi="Calibri"/>
                <w:sz w:val="22"/>
              </w:rPr>
              <w:t>Consensus sits 11% below management’s stated floor; implies meaningful upside if management delivers at guidance</w:t>
            </w:r>
          </w:p>
        </w:tc>
      </w:tr>
      <w:tr>
        <w:tc>
          <w:tcPr>
            <w:tcW w:type="dxa" w:w="1728"/>
          </w:tcPr>
          <w:p>
            <w:r>
              <w:rPr>
                <w:rFonts w:ascii="Calibri" w:hAnsi="Calibri"/>
                <w:sz w:val="22"/>
              </w:rPr>
              <w:t>FY 2026 Revenue</w:t>
            </w:r>
          </w:p>
        </w:tc>
        <w:tc>
          <w:tcPr>
            <w:tcW w:type="dxa" w:w="1728"/>
          </w:tcPr>
          <w:p>
            <w:r>
              <w:rPr>
                <w:rFonts w:ascii="Calibri" w:hAnsi="Calibri"/>
                <w:sz w:val="22"/>
              </w:rPr>
              <w:t>≥$6.405B (FX-neutral +1%)</w:t>
            </w:r>
          </w:p>
        </w:tc>
        <w:tc>
          <w:tcPr>
            <w:tcW w:type="dxa" w:w="1728"/>
          </w:tcPr>
          <w:p>
            <w:r>
              <w:rPr>
                <w:rFonts w:ascii="Calibri" w:hAnsi="Calibri"/>
                <w:sz w:val="22"/>
              </w:rPr>
              <w:t>—</w:t>
            </w:r>
          </w:p>
        </w:tc>
        <w:tc>
          <w:tcPr>
            <w:tcW w:type="dxa" w:w="1728"/>
          </w:tcPr>
          <w:p>
            <w:r>
              <w:rPr>
                <w:rFonts w:ascii="Calibri" w:hAnsi="Calibri"/>
                <w:sz w:val="22"/>
              </w:rPr>
              <w:t>~$6.426B</w:t>
            </w:r>
          </w:p>
        </w:tc>
        <w:tc>
          <w:tcPr>
            <w:tcW w:type="dxa" w:w="1728"/>
          </w:tcPr>
          <w:p>
            <w:r>
              <w:rPr>
                <w:rFonts w:ascii="Calibri" w:hAnsi="Calibri"/>
                <w:sz w:val="22"/>
              </w:rPr>
              <w:t>↑ Updated from prior guidance at Q1 earnings; consensus slightly above floor</w:t>
            </w:r>
          </w:p>
        </w:tc>
      </w:tr>
      <w:tr>
        <w:tc>
          <w:tcPr>
            <w:tcW w:type="dxa" w:w="1728"/>
          </w:tcPr>
          <w:p>
            <w:r>
              <w:rPr>
                <w:rFonts w:ascii="Calibri" w:hAnsi="Calibri"/>
                <w:sz w:val="22"/>
              </w:rPr>
              <w:t>FY 2026 EBITDA</w:t>
            </w:r>
          </w:p>
        </w:tc>
        <w:tc>
          <w:tcPr>
            <w:tcW w:type="dxa" w:w="1728"/>
          </w:tcPr>
          <w:p>
            <w:r>
              <w:rPr>
                <w:rFonts w:ascii="Calibri" w:hAnsi="Calibri"/>
                <w:sz w:val="22"/>
              </w:rPr>
              <w:t>≥$1.545B (margin ≥24.1%)</w:t>
            </w:r>
          </w:p>
        </w:tc>
        <w:tc>
          <w:tcPr>
            <w:tcW w:type="dxa" w:w="1728"/>
          </w:tcPr>
          <w:p>
            <w:r>
              <w:rPr>
                <w:rFonts w:ascii="Calibri" w:hAnsi="Calibri"/>
                <w:sz w:val="22"/>
              </w:rPr>
              <w:t>—</w:t>
            </w:r>
          </w:p>
        </w:tc>
        <w:tc>
          <w:tcPr>
            <w:tcW w:type="dxa" w:w="1728"/>
          </w:tcPr>
          <w:p>
            <w:r>
              <w:rPr>
                <w:rFonts w:ascii="Calibri" w:hAnsi="Calibri"/>
                <w:sz w:val="22"/>
              </w:rPr>
              <w:t>~$1.407B</w:t>
            </w:r>
          </w:p>
        </w:tc>
        <w:tc>
          <w:tcPr>
            <w:tcW w:type="dxa" w:w="1728"/>
          </w:tcPr>
          <w:p>
            <w:r>
              <w:rPr>
                <w:rFonts w:ascii="Calibri" w:hAnsi="Calibri"/>
                <w:sz w:val="22"/>
              </w:rPr>
              <w:t>↑ Raised $30M from prior guidance at Q1 earnings; new margin floor is 24.1% vs. prior 23.5% baseline</w:t>
            </w:r>
          </w:p>
        </w:tc>
      </w:tr>
      <w:tr>
        <w:tc>
          <w:tcPr>
            <w:tcW w:type="dxa" w:w="1728"/>
          </w:tcPr>
          <w:p>
            <w:r>
              <w:rPr>
                <w:rFonts w:ascii="Calibri" w:hAnsi="Calibri"/>
                <w:sz w:val="22"/>
              </w:rPr>
              <w:t>FY 2026 Adj. EPS</w:t>
            </w:r>
          </w:p>
        </w:tc>
        <w:tc>
          <w:tcPr>
            <w:tcW w:type="dxa" w:w="1728"/>
          </w:tcPr>
          <w:p>
            <w:r>
              <w:rPr>
                <w:rFonts w:ascii="Calibri" w:hAnsi="Calibri"/>
                <w:sz w:val="22"/>
              </w:rPr>
              <w:t>≥$13.25</w:t>
            </w:r>
          </w:p>
        </w:tc>
        <w:tc>
          <w:tcPr>
            <w:tcW w:type="dxa" w:w="1728"/>
          </w:tcPr>
          <w:p>
            <w:r>
              <w:rPr>
                <w:rFonts w:ascii="Calibri" w:hAnsi="Calibri"/>
                <w:sz w:val="22"/>
              </w:rPr>
              <w:t>—</w:t>
            </w:r>
          </w:p>
        </w:tc>
        <w:tc>
          <w:tcPr>
            <w:tcW w:type="dxa" w:w="1728"/>
          </w:tcPr>
          <w:p>
            <w:r>
              <w:rPr>
                <w:rFonts w:ascii="Calibri" w:hAnsi="Calibri"/>
                <w:sz w:val="22"/>
              </w:rPr>
              <w:t>~$13.67</w:t>
            </w:r>
          </w:p>
        </w:tc>
        <w:tc>
          <w:tcPr>
            <w:tcW w:type="dxa" w:w="1728"/>
          </w:tcPr>
          <w:p>
            <w:r>
              <w:rPr>
                <w:rFonts w:ascii="Calibri" w:hAnsi="Calibri"/>
                <w:sz w:val="22"/>
              </w:rPr>
              <w:t>↑ Raised at Q1 earnings; reflects higher EBITDA and lower share count from $535M Q1 buyback; consensus above floor</w:t>
            </w:r>
          </w:p>
        </w:tc>
      </w:tr>
      <w:tr>
        <w:tc>
          <w:tcPr>
            <w:tcW w:type="dxa" w:w="1728"/>
          </w:tcPr>
          <w:p>
            <w:r>
              <w:rPr>
                <w:rFonts w:ascii="Calibri" w:hAnsi="Calibri"/>
                <w:sz w:val="22"/>
              </w:rPr>
              <w:t>FY 2026 Free Cash Flow</w:t>
            </w:r>
          </w:p>
        </w:tc>
        <w:tc>
          <w:tcPr>
            <w:tcW w:type="dxa" w:w="1728"/>
          </w:tcPr>
          <w:p>
            <w:r>
              <w:rPr>
                <w:rFonts w:ascii="Calibri" w:hAnsi="Calibri"/>
                <w:sz w:val="22"/>
              </w:rPr>
              <w:t>≥$1.16B (137% GAAP net income conversion)</w:t>
            </w:r>
          </w:p>
        </w:tc>
        <w:tc>
          <w:tcPr>
            <w:tcW w:type="dxa" w:w="1728"/>
          </w:tcPr>
          <w:p>
            <w:r>
              <w:rPr>
                <w:rFonts w:ascii="Calibri" w:hAnsi="Calibri"/>
                <w:sz w:val="22"/>
              </w:rPr>
              <w:t>—</w:t>
            </w:r>
          </w:p>
        </w:tc>
        <w:tc>
          <w:tcPr>
            <w:tcW w:type="dxa" w:w="1728"/>
          </w:tcPr>
          <w:p>
            <w:r>
              <w:rPr>
                <w:rFonts w:ascii="Calibri" w:hAnsi="Calibri"/>
                <w:sz w:val="22"/>
              </w:rPr>
              <w:t>~$1.162B</w:t>
            </w:r>
          </w:p>
        </w:tc>
        <w:tc>
          <w:tcPr>
            <w:tcW w:type="dxa" w:w="1728"/>
          </w:tcPr>
          <w:p>
            <w:r>
              <w:rPr>
                <w:rFonts w:ascii="Calibri" w:hAnsi="Calibri"/>
                <w:sz w:val="22"/>
              </w:rPr>
              <w:t>Consensus essentially at guidance floor; upside if buyback pace continues</w:t>
            </w:r>
          </w:p>
        </w:tc>
      </w:tr>
      <w:tr>
        <w:tc>
          <w:tcPr>
            <w:tcW w:type="dxa" w:w="1728"/>
          </w:tcPr>
          <w:p>
            <w:r>
              <w:rPr>
                <w:rFonts w:ascii="Calibri" w:hAnsi="Calibri"/>
                <w:sz w:val="22"/>
              </w:rPr>
              <w:t>FY 2026 Diluted Shares</w:t>
            </w:r>
          </w:p>
        </w:tc>
        <w:tc>
          <w:tcPr>
            <w:tcW w:type="dxa" w:w="1728"/>
          </w:tcPr>
          <w:p>
            <w:r>
              <w:rPr>
                <w:rFonts w:ascii="Calibri" w:hAnsi="Calibri"/>
                <w:sz w:val="22"/>
              </w:rPr>
              <w:t>69M (weighted avg., incorporates Q1 repurchases)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Exited Q1 with 68M shares; $600M additional buyback authorization approved</w:t>
            </w:r>
          </w:p>
        </w:tc>
      </w:tr>
      <w:tr>
        <w:tc>
          <w:tcPr>
            <w:tcW w:type="dxa" w:w="1728"/>
          </w:tcPr>
          <w:p>
            <w:r>
              <w:rPr>
                <w:rFonts w:ascii="Calibri" w:hAnsi="Calibri"/>
                <w:sz w:val="22"/>
              </w:rPr>
              <w:t>Contract Value Growth</w:t>
            </w:r>
          </w:p>
        </w:tc>
        <w:tc>
          <w:tcPr>
            <w:tcW w:type="dxa" w:w="1728"/>
          </w:tcPr>
          <w:p>
            <w:r>
              <w:rPr>
                <w:rFonts w:ascii="Calibri" w:hAnsi="Calibri"/>
                <w:sz w:val="22"/>
              </w:rPr>
              <w:t>Acceleration expected throughout 2026; high single-digit by year-end; double-digit in 2027</w:t>
            </w:r>
          </w:p>
        </w:tc>
        <w:tc>
          <w:tcPr>
            <w:tcW w:type="dxa" w:w="1728"/>
          </w:tcPr>
          <w:p>
            <w:r>
              <w:rPr>
                <w:rFonts w:ascii="Calibri" w:hAnsi="Calibri"/>
                <w:sz w:val="22"/>
              </w:rPr>
              <w:t>—</w:t>
            </w:r>
          </w:p>
        </w:tc>
        <w:tc>
          <w:tcPr>
            <w:tcW w:type="dxa" w:w="1728"/>
          </w:tcPr>
          <w:p>
            <w:r>
              <w:rPr>
                <w:rFonts w:ascii="Calibri" w:hAnsi="Calibri"/>
                <w:sz w:val="22"/>
              </w:rPr>
              <w:t>~$5.291B (+1.8% YoY)</w:t>
            </w:r>
          </w:p>
        </w:tc>
        <w:tc>
          <w:tcPr>
            <w:tcW w:type="dxa" w:w="1728"/>
          </w:tcPr>
          <w:p>
            <w:r>
              <w:rPr>
                <w:rFonts w:ascii="Calibri" w:hAnsi="Calibri"/>
                <w:sz w:val="22"/>
              </w:rPr>
              <w:t>Consensus implies modest acceleration from Q1’s +1% YoY; management targets high single-digit by year-end</w:t>
            </w:r>
          </w:p>
        </w:tc>
      </w:tr>
      <w:tr>
        <w:tc>
          <w:tcPr>
            <w:tcW w:type="dxa" w:w="1728"/>
          </w:tcPr>
          <w:p>
            <w:r>
              <w:rPr>
                <w:rFonts w:ascii="Calibri" w:hAnsi="Calibri"/>
                <w:sz w:val="22"/>
              </w:rPr>
              <w:t>U.S. Federal CV</w:t>
            </w:r>
          </w:p>
        </w:tc>
        <w:tc>
          <w:tcPr>
            <w:tcW w:type="dxa" w:w="1728"/>
          </w:tcPr>
          <w:p>
            <w:r>
              <w:rPr>
                <w:rFonts w:ascii="Calibri" w:hAnsi="Calibri"/>
                <w:sz w:val="22"/>
              </w:rPr>
              <w:t>Flat in 2026 (~$114M); growth expected thereafter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2026 is the first quarter lapping the worst DOGE-driven cancellations (March–April 2025); tone shifted from containment to lapping</w:t>
            </w:r>
          </w:p>
        </w:tc>
      </w:tr>
      <w:tr>
        <w:tc>
          <w:tcPr>
            <w:tcW w:type="dxa" w:w="1728"/>
          </w:tcPr>
          <w:p>
            <w:r>
              <w:rPr>
                <w:rFonts w:ascii="Calibri" w:hAnsi="Calibri"/>
                <w:sz w:val="22"/>
              </w:rPr>
              <w:t>Consulting Revenue</w:t>
            </w:r>
          </w:p>
        </w:tc>
        <w:tc>
          <w:tcPr>
            <w:tcW w:type="dxa" w:w="1728"/>
          </w:tcPr>
          <w:p>
            <w:r>
              <w:rPr>
                <w:rFonts w:ascii="Calibri" w:hAnsi="Calibri"/>
                <w:sz w:val="22"/>
              </w:rPr>
              <w:t>Prudent / de-risked; Q2 bookings expected to recover, enabling H2 delivery</w:t>
            </w:r>
          </w:p>
        </w:tc>
        <w:tc>
          <w:tcPr>
            <w:tcW w:type="dxa" w:w="1728"/>
          </w:tcPr>
          <w:p>
            <w:r>
              <w:rPr>
                <w:rFonts w:ascii="Calibri" w:hAnsi="Calibri"/>
                <w:sz w:val="22"/>
              </w:rPr>
              <w:t>—</w:t>
            </w:r>
          </w:p>
        </w:tc>
        <w:tc>
          <w:tcPr>
            <w:tcW w:type="dxa" w:w="1728"/>
          </w:tcPr>
          <w:p>
            <w:r>
              <w:rPr>
                <w:rFonts w:ascii="Calibri" w:hAnsi="Calibri"/>
                <w:sz w:val="22"/>
              </w:rPr>
              <w:t>~$139M</w:t>
            </w:r>
          </w:p>
        </w:tc>
        <w:tc>
          <w:tcPr>
            <w:tcW w:type="dxa" w:w="1728"/>
          </w:tcPr>
          <w:p>
            <w:r>
              <w:rPr>
                <w:rFonts w:ascii="Calibri" w:hAnsi="Calibri"/>
                <w:sz w:val="22"/>
              </w:rPr>
              <w:t>↓ De-risked at Q1 earnings; deferred bookings and contract optimization headwinds; management expects Q2 bookings recovery</w:t>
            </w:r>
          </w:p>
        </w:tc>
      </w:tr>
      <w:tr>
        <w:tc>
          <w:tcPr>
            <w:tcW w:type="dxa" w:w="1728"/>
          </w:tcPr>
          <w:p>
            <w:r>
              <w:rPr>
                <w:rFonts w:ascii="Calibri" w:hAnsi="Calibri"/>
                <w:sz w:val="22"/>
              </w:rPr>
              <w:t>3-Year EPS CAGR Target</w:t>
            </w:r>
          </w:p>
        </w:tc>
        <w:tc>
          <w:tcPr>
            <w:tcW w:type="dxa" w:w="1728"/>
          </w:tcPr>
          <w:p>
            <w:r>
              <w:rPr>
                <w:rFonts w:ascii="Calibri" w:hAnsi="Calibri"/>
                <w:sz w:val="22"/>
              </w:rPr>
              <w:t>&gt;12% (base year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Q1 earnings; driven by CV re-acceleration, margin expansion, and capital return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 Q2 EPS consensus is essentially flat (+0.3%) and FY 2026 EPS is up modestly (+0.1%), suggesting the street has absorbed the raised guidance without pricing in incremental upside. </w:t>
      </w:r>
      <w:r>
        <w:rPr>
          <w:rFonts w:ascii="Calibri" w:hAnsi="Calibri"/>
          <w:b/>
          <w:color w:val="525866"/>
          <w:sz w:val="22"/>
        </w:rPr>
        <w:t>The gap between consensus and management’s guidance floor on EBITDA is the most notable divergence and represents potential upside if management delivers at its own floor.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Last Earnings +5 Days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$1.655B</w:t>
            </w:r>
          </w:p>
        </w:tc>
        <w:tc>
          <w:tcPr>
            <w:tcW w:type="dxa" w:w="1080"/>
          </w:tcPr>
          <w:p>
            <w:r>
              <w:rPr>
                <w:rFonts w:ascii="Calibri" w:hAnsi="Calibri"/>
                <w:sz w:val="22"/>
              </w:rPr>
              <w:t>$1.647B</w:t>
            </w:r>
          </w:p>
        </w:tc>
        <w:tc>
          <w:tcPr>
            <w:tcW w:type="dxa" w:w="1080"/>
          </w:tcPr>
          <w:p>
            <w:r>
              <w:rPr>
                <w:rFonts w:ascii="Calibri" w:hAnsi="Calibri"/>
                <w:sz w:val="22"/>
              </w:rPr>
              <w:t>-0.5%</w:t>
            </w:r>
          </w:p>
        </w:tc>
        <w:tc>
          <w:tcPr>
            <w:tcW w:type="dxa" w:w="1080"/>
          </w:tcPr>
          <w:p>
            <w:r>
              <w:rPr>
                <w:rFonts w:ascii="Calibri" w:hAnsi="Calibri"/>
                <w:sz w:val="22"/>
              </w:rPr>
              <w:t>FY ≥$6.405B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(Q2 specific)</w:t>
            </w:r>
          </w:p>
        </w:tc>
      </w:tr>
      <w:tr>
        <w:tc>
          <w:tcPr>
            <w:tcW w:type="dxa" w:w="1080"/>
          </w:tcPr>
          <w:p>
            <w:r>
              <w:rPr>
                <w:rFonts w:ascii="Calibri" w:hAnsi="Calibri"/>
                <w:sz w:val="22"/>
              </w:rPr>
              <w:t>Total Revenue — FY 2026</w:t>
            </w:r>
          </w:p>
        </w:tc>
        <w:tc>
          <w:tcPr>
            <w:tcW w:type="dxa" w:w="1080"/>
          </w:tcPr>
          <w:p>
            <w:r>
              <w:rPr>
                <w:rFonts w:ascii="Calibri" w:hAnsi="Calibri"/>
                <w:sz w:val="22"/>
              </w:rPr>
              <w:t>$6.447B</w:t>
            </w:r>
          </w:p>
        </w:tc>
        <w:tc>
          <w:tcPr>
            <w:tcW w:type="dxa" w:w="1080"/>
          </w:tcPr>
          <w:p>
            <w:r>
              <w:rPr>
                <w:rFonts w:ascii="Calibri" w:hAnsi="Calibri"/>
                <w:sz w:val="22"/>
              </w:rPr>
              <w:t>$6.426B</w:t>
            </w:r>
          </w:p>
        </w:tc>
        <w:tc>
          <w:tcPr>
            <w:tcW w:type="dxa" w:w="1080"/>
          </w:tcPr>
          <w:p>
            <w:r>
              <w:rPr>
                <w:rFonts w:ascii="Calibri" w:hAnsi="Calibri"/>
                <w:sz w:val="22"/>
              </w:rPr>
              <w:t>-0.3%</w:t>
            </w:r>
          </w:p>
        </w:tc>
        <w:tc>
          <w:tcPr>
            <w:tcW w:type="dxa" w:w="1080"/>
          </w:tcPr>
          <w:p>
            <w:r>
              <w:rPr>
                <w:rFonts w:ascii="Calibri" w:hAnsi="Calibri"/>
                <w:sz w:val="22"/>
              </w:rPr>
              <w:t>≥$6.405B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floor</w:t>
            </w:r>
          </w:p>
        </w:tc>
      </w:tr>
      <w:tr>
        <w:tc>
          <w:tcPr>
            <w:tcW w:type="dxa" w:w="1080"/>
          </w:tcPr>
          <w:p>
            <w:r>
              <w:rPr>
                <w:rFonts w:ascii="Calibri" w:hAnsi="Calibri"/>
                <w:sz w:val="22"/>
              </w:rPr>
              <w:t>Total CV — Q2 2026</w:t>
            </w:r>
          </w:p>
        </w:tc>
        <w:tc>
          <w:tcPr>
            <w:tcW w:type="dxa" w:w="1080"/>
          </w:tcPr>
          <w:p>
            <w:r>
              <w:rPr>
                <w:rFonts w:ascii="Calibri" w:hAnsi="Calibri"/>
                <w:sz w:val="22"/>
              </w:rPr>
              <w:t>$5.301B</w:t>
            </w:r>
          </w:p>
        </w:tc>
        <w:tc>
          <w:tcPr>
            <w:tcW w:type="dxa" w:w="1080"/>
          </w:tcPr>
          <w:p>
            <w:r>
              <w:rPr>
                <w:rFonts w:ascii="Calibri" w:hAnsi="Calibri"/>
                <w:sz w:val="22"/>
              </w:rPr>
              <w:t>$5.291B</w:t>
            </w:r>
          </w:p>
        </w:tc>
        <w:tc>
          <w:tcPr>
            <w:tcW w:type="dxa" w:w="1080"/>
          </w:tcPr>
          <w:p>
            <w:r>
              <w:rPr>
                <w:rFonts w:ascii="Calibri" w:hAnsi="Calibri"/>
                <w:sz w:val="22"/>
              </w:rPr>
              <w:t>-0.2%</w:t>
            </w:r>
          </w:p>
        </w:tc>
        <w:tc>
          <w:tcPr>
            <w:tcW w:type="dxa" w:w="1080"/>
          </w:tcPr>
          <w:p>
            <w:r>
              <w:rPr>
                <w:rFonts w:ascii="Calibri" w:hAnsi="Calibri"/>
                <w:sz w:val="22"/>
              </w:rPr>
              <w:t>Acceleration expected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CV floor)</w:t>
            </w:r>
          </w:p>
        </w:tc>
      </w:tr>
      <w:tr>
        <w:tc>
          <w:tcPr>
            <w:tcW w:type="dxa" w:w="1080"/>
          </w:tcPr>
          <w:p>
            <w:r>
              <w:rPr>
                <w:rFonts w:ascii="Calibri" w:hAnsi="Calibri"/>
                <w:sz w:val="22"/>
              </w:rPr>
              <w:t>Total CV — FY 2026</w:t>
            </w:r>
          </w:p>
        </w:tc>
        <w:tc>
          <w:tcPr>
            <w:tcW w:type="dxa" w:w="1080"/>
          </w:tcPr>
          <w:p>
            <w:r>
              <w:rPr>
                <w:rFonts w:ascii="Calibri" w:hAnsi="Calibri"/>
                <w:sz w:val="22"/>
              </w:rPr>
              <w:t>$5.522B</w:t>
            </w:r>
          </w:p>
        </w:tc>
        <w:tc>
          <w:tcPr>
            <w:tcW w:type="dxa" w:w="1080"/>
          </w:tcPr>
          <w:p>
            <w:r>
              <w:rPr>
                <w:rFonts w:ascii="Calibri" w:hAnsi="Calibri"/>
                <w:sz w:val="22"/>
              </w:rPr>
              <w:t>$5.507B</w:t>
            </w:r>
          </w:p>
        </w:tc>
        <w:tc>
          <w:tcPr>
            <w:tcW w:type="dxa" w:w="1080"/>
          </w:tcPr>
          <w:p>
            <w:r>
              <w:rPr>
                <w:rFonts w:ascii="Calibri" w:hAnsi="Calibri"/>
                <w:sz w:val="22"/>
              </w:rPr>
              <w:t>-0.3%</w:t>
            </w:r>
          </w:p>
        </w:tc>
        <w:tc>
          <w:tcPr>
            <w:tcW w:type="dxa" w:w="1080"/>
          </w:tcPr>
          <w:p>
            <w:r>
              <w:rPr>
                <w:rFonts w:ascii="Calibri" w:hAnsi="Calibri"/>
                <w:sz w:val="22"/>
              </w:rPr>
              <w:t>High single-digit growth by year-end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Q2 2026</w:t>
            </w:r>
          </w:p>
        </w:tc>
        <w:tc>
          <w:tcPr>
            <w:tcW w:type="dxa" w:w="1080"/>
          </w:tcPr>
          <w:p>
            <w:r>
              <w:rPr>
                <w:rFonts w:ascii="Calibri" w:hAnsi="Calibri"/>
                <w:sz w:val="22"/>
              </w:rPr>
              <w:t>$377M</w:t>
            </w:r>
          </w:p>
        </w:tc>
        <w:tc>
          <w:tcPr>
            <w:tcW w:type="dxa" w:w="1080"/>
          </w:tcPr>
          <w:p>
            <w:r>
              <w:rPr>
                <w:rFonts w:ascii="Calibri" w:hAnsi="Calibri"/>
                <w:sz w:val="22"/>
              </w:rPr>
              <w:t>$377M</w:t>
            </w:r>
          </w:p>
        </w:tc>
        <w:tc>
          <w:tcPr>
            <w:tcW w:type="dxa" w:w="1080"/>
          </w:tcPr>
          <w:p>
            <w:r>
              <w:rPr>
                <w:rFonts w:ascii="Calibri" w:hAnsi="Calibri"/>
                <w:sz w:val="22"/>
              </w:rPr>
              <w:t>0.0%</w:t>
            </w:r>
          </w:p>
        </w:tc>
        <w:tc>
          <w:tcPr>
            <w:tcW w:type="dxa" w:w="1080"/>
          </w:tcPr>
          <w:p>
            <w:r>
              <w:rPr>
                <w:rFonts w:ascii="Calibri" w:hAnsi="Calibri"/>
                <w:sz w:val="22"/>
              </w:rPr>
              <w:t>≥$425M (Q2 floor)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-11.3% below guide floor</w:t>
            </w:r>
          </w:p>
        </w:tc>
      </w:tr>
      <w:tr>
        <w:tc>
          <w:tcPr>
            <w:tcW w:type="dxa" w:w="1080"/>
          </w:tcPr>
          <w:p>
            <w:r>
              <w:rPr>
                <w:rFonts w:ascii="Calibri" w:hAnsi="Calibri"/>
                <w:sz w:val="22"/>
              </w:rPr>
              <w:t>EBITDA — FY 2026</w:t>
            </w:r>
          </w:p>
        </w:tc>
        <w:tc>
          <w:tcPr>
            <w:tcW w:type="dxa" w:w="1080"/>
          </w:tcPr>
          <w:p>
            <w:r>
              <w:rPr>
                <w:rFonts w:ascii="Calibri" w:hAnsi="Calibri"/>
                <w:sz w:val="22"/>
              </w:rPr>
              <w:t>$1.410B</w:t>
            </w:r>
          </w:p>
        </w:tc>
        <w:tc>
          <w:tcPr>
            <w:tcW w:type="dxa" w:w="1080"/>
          </w:tcPr>
          <w:p>
            <w:r>
              <w:rPr>
                <w:rFonts w:ascii="Calibri" w:hAnsi="Calibri"/>
                <w:sz w:val="22"/>
              </w:rPr>
              <w:t>$1.407B</w:t>
            </w:r>
          </w:p>
        </w:tc>
        <w:tc>
          <w:tcPr>
            <w:tcW w:type="dxa" w:w="1080"/>
          </w:tcPr>
          <w:p>
            <w:r>
              <w:rPr>
                <w:rFonts w:ascii="Calibri" w:hAnsi="Calibri"/>
                <w:sz w:val="22"/>
              </w:rPr>
              <w:t>-0.2%</w:t>
            </w:r>
          </w:p>
        </w:tc>
        <w:tc>
          <w:tcPr>
            <w:tcW w:type="dxa" w:w="1080"/>
          </w:tcPr>
          <w:p>
            <w:r>
              <w:rPr>
                <w:rFonts w:ascii="Calibri" w:hAnsi="Calibri"/>
                <w:sz w:val="22"/>
              </w:rPr>
              <w:t>≥$1.545B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-8.9% below guide floor</w:t>
            </w:r>
          </w:p>
        </w:tc>
      </w:tr>
      <w:tr>
        <w:tc>
          <w:tcPr>
            <w:tcW w:type="dxa" w:w="1080"/>
          </w:tcPr>
          <w:p>
            <w:r>
              <w:rPr>
                <w:rFonts w:ascii="Calibri" w:hAnsi="Calibri"/>
                <w:sz w:val="22"/>
              </w:rPr>
              <w:t>Op. EPS — Q2 2026</w:t>
            </w:r>
          </w:p>
        </w:tc>
        <w:tc>
          <w:tcPr>
            <w:tcW w:type="dxa" w:w="1080"/>
          </w:tcPr>
          <w:p>
            <w:r>
              <w:rPr>
                <w:rFonts w:ascii="Calibri" w:hAnsi="Calibri"/>
                <w:sz w:val="22"/>
              </w:rPr>
              <w:t>$3.720</w:t>
            </w:r>
          </w:p>
        </w:tc>
        <w:tc>
          <w:tcPr>
            <w:tcW w:type="dxa" w:w="1080"/>
          </w:tcPr>
          <w:p>
            <w:r>
              <w:rPr>
                <w:rFonts w:ascii="Calibri" w:hAnsi="Calibri"/>
                <w:sz w:val="22"/>
              </w:rPr>
              <w:t>$3.731</w:t>
            </w:r>
          </w:p>
        </w:tc>
        <w:tc>
          <w:tcPr>
            <w:tcW w:type="dxa" w:w="1080"/>
          </w:tcPr>
          <w:p>
            <w:r>
              <w:rPr>
                <w:rFonts w:ascii="Calibri" w:hAnsi="Calibri"/>
                <w:sz w:val="22"/>
              </w:rPr>
              <w:t>+0.3%</w:t>
            </w:r>
          </w:p>
        </w:tc>
        <w:tc>
          <w:tcPr>
            <w:tcW w:type="dxa" w:w="1080"/>
          </w:tcPr>
          <w:p>
            <w:r>
              <w:rPr>
                <w:rFonts w:ascii="Calibri" w:hAnsi="Calibri"/>
                <w:sz w:val="22"/>
              </w:rPr>
              <w:t>FY ≥$13.25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(Q2 specific)</w:t>
            </w:r>
          </w:p>
        </w:tc>
      </w:tr>
      <w:tr>
        <w:tc>
          <w:tcPr>
            <w:tcW w:type="dxa" w:w="1080"/>
          </w:tcPr>
          <w:p>
            <w:r>
              <w:rPr>
                <w:rFonts w:ascii="Calibri" w:hAnsi="Calibri"/>
                <w:sz w:val="22"/>
              </w:rPr>
              <w:t>Op. EPS — FY 2026</w:t>
            </w:r>
          </w:p>
        </w:tc>
        <w:tc>
          <w:tcPr>
            <w:tcW w:type="dxa" w:w="1080"/>
          </w:tcPr>
          <w:p>
            <w:r>
              <w:rPr>
                <w:rFonts w:ascii="Calibri" w:hAnsi="Calibri"/>
                <w:sz w:val="22"/>
              </w:rPr>
              <w:t>$13.647</w:t>
            </w:r>
          </w:p>
        </w:tc>
        <w:tc>
          <w:tcPr>
            <w:tcW w:type="dxa" w:w="1080"/>
          </w:tcPr>
          <w:p>
            <w:r>
              <w:rPr>
                <w:rFonts w:ascii="Calibri" w:hAnsi="Calibri"/>
                <w:sz w:val="22"/>
              </w:rPr>
              <w:t>$13.666</w:t>
            </w:r>
          </w:p>
        </w:tc>
        <w:tc>
          <w:tcPr>
            <w:tcW w:type="dxa" w:w="1080"/>
          </w:tcPr>
          <w:p>
            <w:r>
              <w:rPr>
                <w:rFonts w:ascii="Calibri" w:hAnsi="Calibri"/>
                <w:sz w:val="22"/>
              </w:rPr>
              <w:t>+0.1%</w:t>
            </w:r>
          </w:p>
        </w:tc>
        <w:tc>
          <w:tcPr>
            <w:tcW w:type="dxa" w:w="1080"/>
          </w:tcPr>
          <w:p>
            <w:r>
              <w:rPr>
                <w:rFonts w:ascii="Calibri" w:hAnsi="Calibri"/>
                <w:sz w:val="22"/>
              </w:rPr>
              <w:t>≥$13.25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30A46C"/>
                <w:sz w:val="22"/>
              </w:rPr>
              <w:t>+3.1% above floor</w:t>
            </w:r>
          </w:p>
        </w:tc>
      </w:tr>
      <w:tr>
        <w:tc>
          <w:tcPr>
            <w:tcW w:type="dxa" w:w="1080"/>
          </w:tcPr>
          <w:p>
            <w:r>
              <w:rPr>
                <w:rFonts w:ascii="Calibri" w:hAnsi="Calibri"/>
                <w:sz w:val="22"/>
              </w:rPr>
              <w:t>Free Cash Flow — FY 2026</w:t>
            </w:r>
          </w:p>
        </w:tc>
        <w:tc>
          <w:tcPr>
            <w:tcW w:type="dxa" w:w="1080"/>
          </w:tcPr>
          <w:p>
            <w:r>
              <w:rPr>
                <w:rFonts w:ascii="Calibri" w:hAnsi="Calibri"/>
                <w:sz w:val="22"/>
              </w:rPr>
              <w:t>$1.171B</w:t>
            </w:r>
          </w:p>
        </w:tc>
        <w:tc>
          <w:tcPr>
            <w:tcW w:type="dxa" w:w="1080"/>
          </w:tcPr>
          <w:p>
            <w:r>
              <w:rPr>
                <w:rFonts w:ascii="Calibri" w:hAnsi="Calibri"/>
                <w:sz w:val="22"/>
              </w:rPr>
              <w:t>$1.162B</w:t>
            </w:r>
          </w:p>
        </w:tc>
        <w:tc>
          <w:tcPr>
            <w:tcW w:type="dxa" w:w="1080"/>
          </w:tcPr>
          <w:p>
            <w:r>
              <w:rPr>
                <w:rFonts w:ascii="Calibri" w:hAnsi="Calibri"/>
                <w:sz w:val="22"/>
              </w:rPr>
              <w:t>-0.8%</w:t>
            </w:r>
          </w:p>
        </w:tc>
        <w:tc>
          <w:tcPr>
            <w:tcW w:type="dxa" w:w="1080"/>
          </w:tcPr>
          <w:p>
            <w:r>
              <w:rPr>
                <w:rFonts w:ascii="Calibri" w:hAnsi="Calibri"/>
                <w:sz w:val="22"/>
              </w:rPr>
              <w:t>≥$1.16B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30A46C"/>
                <w:sz w:val="22"/>
              </w:rPr>
              <w:t>+0.2% above floor</w:t>
            </w:r>
          </w:p>
        </w:tc>
      </w:tr>
    </w:tbl>
    <w:p>
      <w:r>
        <w:rPr>
          <w:rFonts w:ascii="Calibri" w:hAnsi="Calibri"/>
          <w:i/>
          <w:color w:val="525866"/>
          <w:sz w:val="22"/>
        </w:rPr>
        <w:t>Source: Visible Alpha consensus data. Baseline as of May 12, 2026 (5 trading days post Q1 earnings). The most notable divergence is EBITDA: consensus sits ~11% below management’s Q2 floor and ~9% below the FY floor — this gap is unusually wide and likely reflects the street modeling conservatively given the macro uncertainty backdrop. If management delivers at or above its own stated floors (as it has consistently done), the EBITDA beat could be the primary positive catalyst at Q2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IT has significantly underperformed both the software sector (IGV) and the broader market (SPY) since Q1 earnings — </w:t>
      </w:r>
      <w:r>
        <w:rPr>
          <w:rFonts w:ascii="Calibri" w:hAnsi="Calibri"/>
          <w:b/>
          <w:color w:val="525866"/>
          <w:sz w:val="22"/>
        </w:rPr>
        <w:t>the stock is up only ~1% vs. IGV +10% and SPY +5% since May 5</w:t>
      </w:r>
      <w:r>
        <w:rPr>
          <w:rFonts w:ascii="Calibri" w:hAnsi="Calibri"/>
          <w:color w:val="525866"/>
          <w:sz w:val="22"/>
        </w:rPr>
        <w:t>, driven by multiple compression as the market remains skeptical of the CV re-acceleration timeline despite the raised guidance.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IT (Gartner) vs. IGV (iShares Expanded Tech-Software ETF) vs. S&amp;P 500 (SPY) — Indexed to 100 at Q1 2026 Earnings Date (May 5, 2026). Source: Yahoo Finance.</w:t>
      </w:r>
    </w:p>
    <w:p>
      <w:r>
        <w:rPr>
          <w:rFonts w:ascii="Calibri" w:hAnsi="Calibri"/>
          <w:b/>
          <w:color w:val="525866"/>
          <w:sz w:val="22"/>
        </w:rPr>
        <w:t xml:space="preserve">Sector ETF: </w:t>
      </w:r>
      <w:r>
        <w:rPr>
          <w:rFonts w:ascii="Calibri" w:hAnsi="Calibri"/>
          <w:color w:val="525866"/>
          <w:sz w:val="22"/>
        </w:rPr>
        <w:t>IGV (iShares Expanded Tech-Software Sector ETF) — selected as the most appropriate benchmark given Gartner’s positioning as a technology research and advisory firm with revenue streams closely tied to enterprise software and IT spending cycles.</w:t>
      </w:r>
    </w:p>
    <w:p>
      <w:pPr>
        <w:pStyle w:val="ListBullet"/>
        <w:ind w:left="360" w:hanging="360"/>
      </w:pPr>
      <w:r>
        <w:rPr>
          <w:rFonts w:ascii="Calibri" w:hAnsi="Calibri"/>
          <w:b/>
          <w:color w:val="525866"/>
          <w:sz w:val="22"/>
        </w:rPr>
        <w:t xml:space="preserve">May 5–6 (Earnings Day &amp; Day After): </w:t>
      </w:r>
      <w:r>
        <w:rPr>
          <w:rFonts w:ascii="Calibri" w:hAnsi="Calibri"/>
          <w:color w:val="525866"/>
          <w:sz w:val="22"/>
        </w:rPr>
        <w:t>IT opened at $147.71 pre-earnings and closed at $149.49 on earnings day, then continued to $151.05 — a muted positive reaction (+1.2%) despite the EPS beat and raised guidance, reflecting the market’s cautious stance on CV re-acceleration.</w:t>
      </w:r>
    </w:p>
    <w:p>
      <w:pPr>
        <w:pStyle w:val="ListBullet"/>
        <w:ind w:left="360" w:hanging="360"/>
      </w:pPr>
      <w:r>
        <w:rPr>
          <w:rFonts w:ascii="Calibri" w:hAnsi="Calibri"/>
          <w:b/>
          <w:color w:val="525866"/>
          <w:sz w:val="22"/>
        </w:rPr>
        <w:t xml:space="preserve">May 7–June 1 (Post-Earnings Rally): </w:t>
      </w:r>
      <w:r>
        <w:rPr>
          <w:rFonts w:ascii="Calibri" w:hAnsi="Calibri"/>
          <w:color w:val="525866"/>
          <w:sz w:val="22"/>
        </w:rPr>
        <w:t>IT rallied sharply from ~$152 to a peak of $179.59 on June 1 (+20% from earnings close), driven by improving sentiment around the BTI transformation and engagement metrics, as well as broader market strength.</w:t>
      </w:r>
    </w:p>
    <w:p>
      <w:pPr>
        <w:pStyle w:val="ListBullet"/>
        <w:ind w:left="360" w:hanging="360"/>
      </w:pPr>
      <w:r>
        <w:rPr>
          <w:rFonts w:ascii="Calibri" w:hAnsi="Calibri"/>
          <w:b/>
          <w:color w:val="525866"/>
          <w:sz w:val="22"/>
        </w:rPr>
        <w:t xml:space="preserve">June 1–June 30 (Sharp Reversal): </w:t>
      </w:r>
      <w:r>
        <w:rPr>
          <w:rFonts w:ascii="Calibri" w:hAnsi="Calibri"/>
          <w:color w:val="525866"/>
          <w:sz w:val="22"/>
        </w:rPr>
        <w:t>IT sold off from its $179.59 peak to $129.62 by June 30 (-28%), significantly underperforming IGV and SPY during this period. The reversal coincided with broader macro concerns, Middle East conflict escalation (which impacted enterprise decision-making per Accenture’s Q3 commentary), and continued skepticism about the pace of CV recovery.</w:t>
      </w:r>
    </w:p>
    <w:p>
      <w:pPr>
        <w:pStyle w:val="ListBullet"/>
        <w:ind w:left="360" w:hanging="360"/>
      </w:pPr>
      <w:r>
        <w:rPr>
          <w:rFonts w:ascii="Calibri" w:hAnsi="Calibri"/>
          <w:b/>
          <w:color w:val="525866"/>
          <w:sz w:val="22"/>
        </w:rPr>
        <w:t xml:space="preserve">July 1–August 4 (Partial Recovery): </w:t>
      </w:r>
      <w:r>
        <w:rPr>
          <w:rFonts w:ascii="Calibri" w:hAnsi="Calibri"/>
          <w:color w:val="525866"/>
          <w:sz w:val="22"/>
        </w:rPr>
        <w:t>IT has partially recovered from its June lows, trading around $151–152 as of early August, but remains well below its June peak and continues to lag IGV (+10% since earnings) and SPY (+5% since earnings).</w:t>
      </w:r>
    </w:p>
    <w:p>
      <w:pPr>
        <w:pStyle w:val="ListBullet"/>
        <w:ind w:left="360" w:hanging="360"/>
      </w:pPr>
      <w:r>
        <w:rPr>
          <w:rFonts w:ascii="Calibri" w:hAnsi="Calibri"/>
          <w:b/>
          <w:color w:val="525866"/>
          <w:sz w:val="22"/>
        </w:rPr>
        <w:t xml:space="preserve">Multiple Compression: </w:t>
      </w:r>
      <w:r>
        <w:rPr>
          <w:rFonts w:ascii="Calibri" w:hAnsi="Calibri"/>
          <w:color w:val="525866"/>
          <w:sz w:val="22"/>
        </w:rPr>
        <w:t>The stock’s underperformance relative to peers is primarily multiple-driven rather than estimate-driven — EPS estimates have been essentially flat since the Q1 print, while the stock has lagged, implying the market is applying a lower P/E multiple to Gartner’s earnings power amid uncertainty about the CV growth trajectory.</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(IBM, Cognizant, EXLS, Infosys, Accenture) paints a mixed but directionally relevant picture for Gartner: </w:t>
      </w:r>
      <w:r>
        <w:rPr>
          <w:rFonts w:ascii="Calibri" w:hAnsi="Calibri"/>
          <w:b/>
          <w:color w:val="525866"/>
          <w:sz w:val="22"/>
        </w:rPr>
        <w:t>enterprise AI demand is accelerating and clients are moving from pilots to production</w:t>
      </w:r>
      <w:r>
        <w:rPr>
          <w:rFonts w:ascii="Calibri" w:hAnsi="Calibri"/>
          <w:color w:val="525866"/>
          <w:sz w:val="22"/>
        </w:rPr>
        <w:t>, which is Gartner’s highest-demand topic — but discretionary spending remains cautious, decision cycles are elongated, and macro/geopolitical uncertainty (particularly the Middle East conflict) created headwinds in the back half of Q2 that are directly relevant to Gartner’s new business pipeline.</w:t>
      </w:r>
    </w:p>
    <w:p>
      <w:r>
        <w:rPr>
          <w:rFonts w:ascii="Calibri" w:hAnsi="Calibri"/>
          <w:b/>
          <w:color w:val="525866"/>
          <w:sz w:val="22"/>
        </w:rPr>
        <w:t xml:space="preserve">Note: </w:t>
      </w:r>
      <w:r>
        <w:rPr>
          <w:rFonts w:ascii="Calibri" w:hAnsi="Calibri"/>
          <w:i/>
          <w:color w:val="525866"/>
          <w:sz w:val="22"/>
        </w:rPr>
        <w:t>All peer commentaries below are from Q2 2026 earnings calls or Q2 2026-period events (reported July–August 2026), covering the same calendar quarter as Gartner’s upcoming Q2 2026 report. These are current-quarter read-throughs, not prior-quarter results.</w:t>
      </w:r>
    </w:p>
    <w:p>
      <w:pPr>
        <w:pStyle w:val="Heading3"/>
      </w:pPr>
      <w:r>
        <w:rPr>
          <w:rFonts w:ascii="Calibri" w:hAnsi="Calibri"/>
          <w:b/>
          <w:color w:val="3B4259"/>
          <w:sz w:val="24"/>
        </w:rPr>
        <w:t>IBM (Q2 2026 Earnings — July 22, 2026)</w:t>
      </w:r>
    </w:p>
    <w:p>
      <w:r>
        <w:rPr>
          <w:rFonts w:ascii="Calibri" w:hAnsi="Calibri"/>
          <w:b/>
          <w:color w:val="525866"/>
          <w:sz w:val="22"/>
        </w:rPr>
        <w:t xml:space="preserve">Relevance to Gartner: </w:t>
      </w:r>
      <w:r>
        <w:rPr>
          <w:rFonts w:ascii="Calibri" w:hAnsi="Calibri"/>
          <w:color w:val="525866"/>
          <w:sz w:val="22"/>
        </w:rPr>
        <w:t>IBM’s commentary on enterprise IT spending dynamics and client budget reallocation is a direct read-through for Gartner’s new business environment in Q2.</w:t>
      </w:r>
    </w:p>
    <w:p>
      <w:pPr>
        <w:pStyle w:val="ListBullet"/>
        <w:ind w:left="360" w:hanging="360"/>
      </w:pPr>
      <w:r>
        <w:rPr>
          <w:rFonts w:ascii="Calibri" w:hAnsi="Calibri"/>
          <w:b/>
          <w:color w:val="525866"/>
          <w:sz w:val="22"/>
        </w:rPr>
        <w:t xml:space="preserve">Client Budget Reallocation — Negative Read-Through: </w:t>
      </w:r>
      <w:r>
        <w:rPr>
          <w:rFonts w:ascii="Calibri" w:hAnsi="Calibri"/>
          <w:color w:val="525866"/>
          <w:sz w:val="22"/>
        </w:rPr>
        <w:t>IBM reported that in the final weeks of June, clients redirected spending toward servers, storage, and memory to secure supply-constrained infrastructure ahead of expected price increases. This caused “tens of large deals” to fail to close on expected timelines. For Gartner, this dynamic suggests enterprise decision-makers were distracted by CapEx prioritization in late Q2, which could have slowed new business closings in June.</w:t>
      </w:r>
    </w:p>
    <w:p>
      <w:pPr>
        <w:pStyle w:val="ListBullet"/>
        <w:ind w:left="360" w:hanging="360"/>
      </w:pPr>
      <w:r>
        <w:rPr>
          <w:rFonts w:ascii="Calibri" w:hAnsi="Calibri"/>
          <w:b/>
          <w:color w:val="525866"/>
          <w:sz w:val="22"/>
        </w:rPr>
        <w:t xml:space="preserve">Recurring/Subscription Revenue Resilience — Positive Read-Through: </w:t>
      </w:r>
      <w:r>
        <w:rPr>
          <w:rFonts w:ascii="Calibri" w:hAnsi="Calibri"/>
          <w:color w:val="525866"/>
          <w:sz w:val="22"/>
        </w:rPr>
        <w:t>IBM noted that ~80% of its software revenue is recurring and “delivered healthy growth” despite the CapEx disruption, as subscription and consumption-based software is purchased as OpEx and was “largely unaffected by the CapEx dynamics.” This is directly analogous to Gartner’s Insights subscription model — CV and wallet retention should be relatively insulated from the same CapEx reallocation pressures that hurt IBM’s large deal closings.</w:t>
      </w:r>
    </w:p>
    <w:p>
      <w:pPr>
        <w:pStyle w:val="ListBullet"/>
        <w:ind w:left="360" w:hanging="360"/>
      </w:pPr>
      <w:r>
        <w:rPr>
          <w:rFonts w:ascii="Calibri" w:hAnsi="Calibri"/>
          <w:b/>
          <w:color w:val="525866"/>
          <w:sz w:val="22"/>
        </w:rPr>
        <w:t xml:space="preserve">AI Demand Accelerating — Positive Read-Through: </w:t>
      </w:r>
      <w:r>
        <w:rPr>
          <w:rFonts w:ascii="Calibri" w:hAnsi="Calibri"/>
          <w:color w:val="525866"/>
          <w:sz w:val="22"/>
        </w:rPr>
        <w:t>IBM’s consulting signings grew 6% (second consecutive quarter of growth), with generative AI representing ~50% of consulting signings and &gt;30% of backlog. IBM entered H2 with a “robust net new business pipeline growing double digits.” AI is Gartner’s highest-demand topic — accelerating AI adoption among enterprises directly drives demand for Gartner’s research and advisory services.</w:t>
      </w:r>
    </w:p>
    <w:p>
      <w:pPr>
        <w:pStyle w:val="ListBullet"/>
        <w:ind w:left="360" w:hanging="360"/>
      </w:pPr>
      <w:r>
        <w:rPr>
          <w:rFonts w:ascii="Calibri" w:hAnsi="Calibri"/>
          <w:b/>
          <w:color w:val="525866"/>
          <w:sz w:val="22"/>
        </w:rPr>
        <w:t xml:space="preserve">Enterprise Decision-Making Complexity — Mixed: </w:t>
      </w:r>
      <w:r>
        <w:rPr>
          <w:rFonts w:ascii="Calibri" w:hAnsi="Calibri"/>
          <w:color w:val="525866"/>
          <w:sz w:val="22"/>
        </w:rPr>
        <w:t>IBM noted clients are in “early stages of AI adoption” and that the technology spending environment “remains dynamic.” Clients are increasingly turning to consulting to re-engineer business processes — this validates Gartner’s value proposition as an independent advisor helping executives navigate AI strategy decisions.</w:t>
      </w:r>
    </w:p>
    <w:p>
      <w:pPr>
        <w:pStyle w:val="Heading3"/>
      </w:pPr>
      <w:r>
        <w:rPr>
          <w:rFonts w:ascii="Calibri" w:hAnsi="Calibri"/>
          <w:b/>
          <w:color w:val="3B4259"/>
          <w:sz w:val="24"/>
        </w:rPr>
        <w:t>Accenture (Q3 FY2026 Earnings — June 18, 2026)</w:t>
      </w:r>
    </w:p>
    <w:p>
      <w:r>
        <w:rPr>
          <w:rFonts w:ascii="Calibri" w:hAnsi="Calibri"/>
          <w:b/>
          <w:color w:val="525866"/>
          <w:sz w:val="22"/>
        </w:rPr>
        <w:t xml:space="preserve">Relevance to Gartner: </w:t>
      </w:r>
      <w:r>
        <w:rPr>
          <w:rFonts w:ascii="Calibri" w:hAnsi="Calibri"/>
          <w:color w:val="525866"/>
          <w:sz w:val="22"/>
        </w:rPr>
        <w:t>Accenture’s commentary covers the April–June 2026 period (its fiscal Q3), directly overlapping with Gartner’s Q2 2026. Accenture is the most relevant peer for enterprise advisory demand trends.</w:t>
      </w:r>
    </w:p>
    <w:p>
      <w:pPr>
        <w:pStyle w:val="ListBullet"/>
        <w:ind w:left="360" w:hanging="360"/>
      </w:pPr>
      <w:r>
        <w:rPr>
          <w:rFonts w:ascii="Calibri" w:hAnsi="Calibri"/>
          <w:b/>
          <w:color w:val="525866"/>
          <w:sz w:val="22"/>
        </w:rPr>
        <w:t xml:space="preserve">Middle East Conflict — Negative Read-Through: </w:t>
      </w:r>
      <w:r>
        <w:rPr>
          <w:rFonts w:ascii="Calibri" w:hAnsi="Calibri"/>
          <w:color w:val="525866"/>
          <w:sz w:val="22"/>
        </w:rPr>
        <w:t>Accenture reported a ~$100M revenue impact from the Middle East conflict in Q3, split evenly between direct Middle East business and indirect effects globally, “mostly in discretionary spend.” Sales in the Middle East and EMEA were impacted by ~$400M due to “longer decision making.” This is a direct negative read-through for Gartner: the same geopolitical disruption that caused Accenture’s clients to delay decisions in late Q2 would have affected Gartner’s new business pipeline in the same period. Management noted the impact “started in the last few weeks” of the quarter and expects it to continue into Q4.</w:t>
      </w:r>
    </w:p>
    <w:p>
      <w:pPr>
        <w:pStyle w:val="ListBullet"/>
        <w:ind w:left="360" w:hanging="360"/>
      </w:pPr>
      <w:r>
        <w:rPr>
          <w:rFonts w:ascii="Calibri" w:hAnsi="Calibri"/>
          <w:b/>
          <w:color w:val="525866"/>
          <w:sz w:val="22"/>
        </w:rPr>
        <w:t xml:space="preserve">AI Demand Building Every Quarter — Positive Read-Through: </w:t>
      </w:r>
      <w:r>
        <w:rPr>
          <w:rFonts w:ascii="Calibri" w:hAnsi="Calibri"/>
          <w:color w:val="525866"/>
          <w:sz w:val="22"/>
        </w:rPr>
        <w:t>Accenture reported “strong results with broad-based revenue growth” and noted AI demand is “building every quarter,” with another 100 clients initiating advanced AI projects in Q3. Clients with more advanced digital cores are moving to “larger AI transformation programs” and shifting “from pilots to production.” This is the most bullish read-through for Gartner’s research demand — as AI adoption scales, enterprises need independent, objective guidance on strategy, vendor selection, and implementation, which is Gartner’s core value proposition.</w:t>
      </w:r>
    </w:p>
    <w:p>
      <w:pPr>
        <w:pStyle w:val="ListBullet"/>
        <w:ind w:left="360" w:hanging="360"/>
      </w:pPr>
      <w:r>
        <w:rPr>
          <w:rFonts w:ascii="Calibri" w:hAnsi="Calibri"/>
          <w:b/>
          <w:color w:val="525866"/>
          <w:sz w:val="22"/>
        </w:rPr>
        <w:t xml:space="preserve">Client Budgets Not Increasing — Neutral/Negative: </w:t>
      </w:r>
      <w:r>
        <w:rPr>
          <w:rFonts w:ascii="Calibri" w:hAnsi="Calibri"/>
          <w:color w:val="525866"/>
          <w:sz w:val="22"/>
        </w:rPr>
        <w:t>Accenture noted that “budgets haven’t been increasing” even with AI — clients are “spending it differently.” This is consistent with Gartner’s own commentary about slightly elevated downsell and below-normal upsell in 2025, and suggests the wallet retention recovery may be gradual rather than sharp.</w:t>
      </w:r>
    </w:p>
    <w:p>
      <w:pPr>
        <w:pStyle w:val="ListBullet"/>
        <w:ind w:left="360" w:hanging="360"/>
      </w:pPr>
      <w:r>
        <w:rPr>
          <w:rFonts w:ascii="Calibri" w:hAnsi="Calibri"/>
          <w:b/>
          <w:color w:val="525866"/>
          <w:sz w:val="22"/>
        </w:rPr>
        <w:t xml:space="preserve">Consulting Bookings Growth — Positive: </w:t>
      </w:r>
      <w:r>
        <w:rPr>
          <w:rFonts w:ascii="Calibri" w:hAnsi="Calibri"/>
          <w:color w:val="525866"/>
          <w:sz w:val="22"/>
        </w:rPr>
        <w:t>Four consecutive quarters of consulting bookings growth, with clients increasingly asking for “more consulting and AI expertise” within managed services programs. This validates the demand environment for advisory services broadly.</w:t>
      </w:r>
    </w:p>
    <w:p>
      <w:pPr>
        <w:pStyle w:val="Heading3"/>
      </w:pPr>
      <w:r>
        <w:rPr>
          <w:rFonts w:ascii="Calibri" w:hAnsi="Calibri"/>
          <w:b/>
          <w:color w:val="3B4259"/>
          <w:sz w:val="24"/>
        </w:rPr>
        <w:t>Cognizant (Q2 2026 Earnings — July 29, 2026)</w:t>
      </w:r>
    </w:p>
    <w:p>
      <w:r>
        <w:rPr>
          <w:rFonts w:ascii="Calibri" w:hAnsi="Calibri"/>
          <w:b/>
          <w:color w:val="525866"/>
          <w:sz w:val="22"/>
        </w:rPr>
        <w:t xml:space="preserve">Relevance to Gartner: </w:t>
      </w:r>
      <w:r>
        <w:rPr>
          <w:rFonts w:ascii="Calibri" w:hAnsi="Calibri"/>
          <w:color w:val="525866"/>
          <w:sz w:val="22"/>
        </w:rPr>
        <w:t>Cognizant’s Q2 2026 commentary covers the same calendar quarter and provides read-throughs on enterprise IT spending, AI adoption, and discretionary budget dynamics.</w:t>
      </w:r>
    </w:p>
    <w:p>
      <w:pPr>
        <w:pStyle w:val="ListBullet"/>
        <w:ind w:left="360" w:hanging="360"/>
      </w:pPr>
      <w:r>
        <w:rPr>
          <w:rFonts w:ascii="Calibri" w:hAnsi="Calibri"/>
          <w:b/>
          <w:color w:val="525866"/>
          <w:sz w:val="22"/>
        </w:rPr>
        <w:t xml:space="preserve">Cautious Demand Environment Persists — Negative Read-Through: </w:t>
      </w:r>
      <w:r>
        <w:rPr>
          <w:rFonts w:ascii="Calibri" w:hAnsi="Calibri"/>
          <w:color w:val="525866"/>
          <w:sz w:val="22"/>
        </w:rPr>
        <w:t>Cognizant delivered results against a “cautious demand environment” and expects this caution to “persist in the near term.” Market conditions “remain complex.” Discretionary spend “faces tight scrutiny” and must demonstrate clear ROI. This is consistent with Gartner’s own commentary about elongated deal cycles and is a headwind for new business conversion.</w:t>
      </w:r>
    </w:p>
    <w:p>
      <w:pPr>
        <w:pStyle w:val="ListBullet"/>
        <w:ind w:left="360" w:hanging="360"/>
      </w:pPr>
      <w:r>
        <w:rPr>
          <w:rFonts w:ascii="Calibri" w:hAnsi="Calibri"/>
          <w:b/>
          <w:color w:val="525866"/>
          <w:sz w:val="22"/>
        </w:rPr>
        <w:t xml:space="preserve">AI Adoption Accelerating — Positive Read-Through: </w:t>
      </w:r>
      <w:r>
        <w:rPr>
          <w:rFonts w:ascii="Calibri" w:hAnsi="Calibri"/>
          <w:color w:val="525866"/>
          <w:sz w:val="22"/>
        </w:rPr>
        <w:t>Cognizant’s research shows that “two-thirds of the Global 2000 have not yet realized measurable AI productivity gains” and “1 in 4 have paused AI deployments.” This gap between AI investment and realized value is precisely the problem Gartner’s research and advisory services are designed to solve — enterprises that haven’t yet captured AI value are the most likely to seek independent guidance.</w:t>
      </w:r>
    </w:p>
    <w:p>
      <w:pPr>
        <w:pStyle w:val="ListBullet"/>
        <w:ind w:left="360" w:hanging="360"/>
      </w:pPr>
      <w:r>
        <w:rPr>
          <w:rFonts w:ascii="Calibri" w:hAnsi="Calibri"/>
          <w:b/>
          <w:color w:val="525866"/>
          <w:sz w:val="22"/>
        </w:rPr>
        <w:t xml:space="preserve">Financial Services Leading AI Adoption — Positive: </w:t>
      </w:r>
      <w:r>
        <w:rPr>
          <w:rFonts w:ascii="Calibri" w:hAnsi="Calibri"/>
          <w:color w:val="525866"/>
          <w:sz w:val="22"/>
        </w:rPr>
        <w:t>Cognizant noted financial services is “well ahead with AI initiatives and advanced AI adoption,” serving as a “leading indicator for other industries.” Financial services clients are now leveraging AI for growth imperatives with “new discretionary spend cycles.” This is a positive signal for Gartner’s GTS and GBS segments, which have significant financial services exposure.</w:t>
      </w:r>
    </w:p>
    <w:p>
      <w:pPr>
        <w:pStyle w:val="ListBullet"/>
        <w:ind w:left="360" w:hanging="360"/>
      </w:pPr>
      <w:r>
        <w:rPr>
          <w:rFonts w:ascii="Calibri" w:hAnsi="Calibri"/>
          <w:b/>
          <w:color w:val="525866"/>
          <w:sz w:val="22"/>
        </w:rPr>
        <w:t xml:space="preserve">Macro Uncertainty Elevated — Negative: </w:t>
      </w:r>
      <w:r>
        <w:rPr>
          <w:rFonts w:ascii="Calibri" w:hAnsi="Calibri"/>
          <w:color w:val="525866"/>
          <w:sz w:val="22"/>
        </w:rPr>
        <w:t>Cognizant noted “macro uncertainty has remained elevated” with clients in retail, consumer goods, and travel navigating “geopolitical uncertainty, supply chain disruptions and elevated oil prices.” Guidance midpoint assumes discretionary spending environment remains stable. This is consistent with Gartner’s tariff-affected industry headwinds.</w:t>
      </w:r>
    </w:p>
    <w:p>
      <w:pPr>
        <w:pStyle w:val="Heading3"/>
      </w:pPr>
      <w:r>
        <w:rPr>
          <w:rFonts w:ascii="Calibri" w:hAnsi="Calibri"/>
          <w:b/>
          <w:color w:val="3B4259"/>
          <w:sz w:val="24"/>
        </w:rPr>
        <w:t>Infosys (Q1 FY2027 Earnings — July 23, 2026)</w:t>
      </w:r>
    </w:p>
    <w:p>
      <w:r>
        <w:rPr>
          <w:rFonts w:ascii="Calibri" w:hAnsi="Calibri"/>
          <w:b/>
          <w:color w:val="525866"/>
          <w:sz w:val="22"/>
        </w:rPr>
        <w:t xml:space="preserve">Relevance to Gartner: </w:t>
      </w:r>
      <w:r>
        <w:rPr>
          <w:rFonts w:ascii="Calibri" w:hAnsi="Calibri"/>
          <w:color w:val="525866"/>
          <w:sz w:val="22"/>
        </w:rPr>
        <w:t>Infosys’ Q1 FY2027 covers April–June 2026, directly overlapping with Gartner’s Q2 2026. Infosys provides the most granular commentary on enterprise IT spending trends across industries.</w:t>
      </w:r>
    </w:p>
    <w:p>
      <w:pPr>
        <w:pStyle w:val="ListBullet"/>
        <w:ind w:left="360" w:hanging="360"/>
      </w:pPr>
      <w:r>
        <w:rPr>
          <w:rFonts w:ascii="Calibri" w:hAnsi="Calibri"/>
          <w:b/>
          <w:color w:val="525866"/>
          <w:sz w:val="22"/>
        </w:rPr>
        <w:t xml:space="preserve">Volumes Soft and Below Expectations — Negative Read-Through: </w:t>
      </w:r>
      <w:r>
        <w:rPr>
          <w:rFonts w:ascii="Calibri" w:hAnsi="Calibri"/>
          <w:color w:val="525866"/>
          <w:sz w:val="22"/>
        </w:rPr>
        <w:t>Infosys reported volumes were “soft and weaker than expectations and also versus historical Q1 trends.” The company entered FY27 against a “dynamic and evolving business environment” resulting in “lower than expected volumes.” This is a direct negative read-through for Gartner’s new business environment in Q2 2026.</w:t>
      </w:r>
    </w:p>
    <w:p>
      <w:pPr>
        <w:pStyle w:val="ListBullet"/>
        <w:ind w:left="360" w:hanging="360"/>
      </w:pPr>
      <w:r>
        <w:rPr>
          <w:rFonts w:ascii="Calibri" w:hAnsi="Calibri"/>
          <w:b/>
          <w:color w:val="525866"/>
          <w:sz w:val="22"/>
        </w:rPr>
        <w:t xml:space="preserve">Budgets Tightly Controlled — Negative Read-Through: </w:t>
      </w:r>
      <w:r>
        <w:rPr>
          <w:rFonts w:ascii="Calibri" w:hAnsi="Calibri"/>
          <w:color w:val="525866"/>
          <w:sz w:val="22"/>
        </w:rPr>
        <w:t>Infosys noted that “tariffs, geopolitical uncertainty and energy costs is keeping budgets tightly controlled” across retail/CPG, communications, and European automotive. Clients remain “cautious on discretionary spend” with “elongated decision making.” This directly mirrors Gartner’s Q1 commentary about tariff-affected industries and geopolitical disruption slowing March new business.</w:t>
      </w:r>
    </w:p>
    <w:p>
      <w:pPr>
        <w:pStyle w:val="ListBullet"/>
        <w:ind w:left="360" w:hanging="360"/>
      </w:pPr>
      <w:r>
        <w:rPr>
          <w:rFonts w:ascii="Calibri" w:hAnsi="Calibri"/>
          <w:b/>
          <w:color w:val="525866"/>
          <w:sz w:val="22"/>
        </w:rPr>
        <w:t xml:space="preserve">AI Demand Broad-Based — Positive Read-Through: </w:t>
      </w:r>
      <w:r>
        <w:rPr>
          <w:rFonts w:ascii="Calibri" w:hAnsi="Calibri"/>
          <w:color w:val="525866"/>
          <w:sz w:val="22"/>
        </w:rPr>
        <w:t>Infosys reported AI services revenue at 8.2% of total revenue, growing at “double-digit quarter-on-quarter” for several quarters. Demand for AI productivity is “across most industries” including telcos, financial services, retail, and utilities. The company sees a “good pipeline for AI services.” This validates Gartner’s positioning as the go-to advisor for AI strategy.</w:t>
      </w:r>
    </w:p>
    <w:p>
      <w:pPr>
        <w:pStyle w:val="ListBullet"/>
        <w:ind w:left="360" w:hanging="360"/>
      </w:pPr>
      <w:r>
        <w:rPr>
          <w:rFonts w:ascii="Calibri" w:hAnsi="Calibri"/>
          <w:b/>
          <w:color w:val="525866"/>
          <w:sz w:val="22"/>
        </w:rPr>
        <w:t xml:space="preserve">Large Deal Pipeline Healthy but Decision Cycles Longer — Mixed: </w:t>
      </w:r>
      <w:r>
        <w:rPr>
          <w:rFonts w:ascii="Calibri" w:hAnsi="Calibri"/>
          <w:color w:val="525866"/>
          <w:sz w:val="22"/>
        </w:rPr>
        <w:t>Infosys reported $3.6B in large deal wins (61% net new) but noted “large deal pipeline is healthy, but decision cycles are longer.” This is consistent with Gartner’s factory pipeline commentary (growing double-digits) but slower deal velocity through the pipeline.</w:t>
      </w:r>
    </w:p>
    <w:p>
      <w:pPr>
        <w:pStyle w:val="Heading3"/>
      </w:pPr>
      <w:r>
        <w:rPr>
          <w:rFonts w:ascii="Calibri" w:hAnsi="Calibri"/>
          <w:b/>
          <w:color w:val="3B4259"/>
          <w:sz w:val="24"/>
        </w:rPr>
        <w:t>EXLS (ExlService Holdings) (Q2 2026 Earnings — July 29, 2026)</w:t>
      </w:r>
    </w:p>
    <w:p>
      <w:r>
        <w:rPr>
          <w:rFonts w:ascii="Calibri" w:hAnsi="Calibri"/>
          <w:b/>
          <w:color w:val="525866"/>
          <w:sz w:val="22"/>
        </w:rPr>
        <w:t xml:space="preserve">Relevance to Gartner: </w:t>
      </w:r>
      <w:r>
        <w:rPr>
          <w:rFonts w:ascii="Calibri" w:hAnsi="Calibri"/>
          <w:color w:val="525866"/>
          <w:sz w:val="22"/>
        </w:rPr>
        <w:t>EXLS provides read-throughs on enterprise AI adoption pace and the shift from pilots to production, which is directly relevant to Gartner’s demand environment.</w:t>
      </w:r>
    </w:p>
    <w:p>
      <w:pPr>
        <w:pStyle w:val="ListBullet"/>
        <w:ind w:left="360" w:hanging="360"/>
      </w:pPr>
      <w:r>
        <w:rPr>
          <w:rFonts w:ascii="Calibri" w:hAnsi="Calibri"/>
          <w:b/>
          <w:color w:val="525866"/>
          <w:sz w:val="22"/>
        </w:rPr>
        <w:t xml:space="preserve">Enterprises Moving from Pilots to Production — Positive Read-Through: </w:t>
      </w:r>
      <w:r>
        <w:rPr>
          <w:rFonts w:ascii="Calibri" w:hAnsi="Calibri"/>
          <w:color w:val="525866"/>
          <w:sz w:val="22"/>
        </w:rPr>
        <w:t>EXLS reported “industry-leading growth as enterprises move from proof of concept to AI implementation.” Clients are “moving away from pilots and want to go into production.” The velocity of decision-making is “actually increasing and the cycle time is coming down.” This is the most bullish read-through for Gartner — as enterprises operationalize AI, they need Gartner’s research to guide vendor selection, architecture decisions, and risk management.</w:t>
      </w:r>
    </w:p>
    <w:p>
      <w:pPr>
        <w:pStyle w:val="ListBullet"/>
        <w:ind w:left="360" w:hanging="360"/>
      </w:pPr>
      <w:r>
        <w:rPr>
          <w:rFonts w:ascii="Calibri" w:hAnsi="Calibri"/>
          <w:b/>
          <w:color w:val="525866"/>
          <w:sz w:val="22"/>
        </w:rPr>
        <w:t xml:space="preserve">Gartner Cited Directly — Positive: </w:t>
      </w:r>
      <w:r>
        <w:rPr>
          <w:rFonts w:ascii="Calibri" w:hAnsi="Calibri"/>
          <w:color w:val="525866"/>
          <w:sz w:val="22"/>
        </w:rPr>
        <w:t>EXLS management cited Gartner’s own research on its earnings call: “Gartner predicts that by 2028, open source gen AI models will underpin more than 50% of enterprise use cases, up from less than 10% today.” This is a direct validation of Gartner’s brand authority and the relevance of its research in enterprise AI decision-making.</w:t>
      </w:r>
    </w:p>
    <w:p>
      <w:pPr>
        <w:pStyle w:val="ListBullet"/>
        <w:ind w:left="360" w:hanging="360"/>
      </w:pPr>
      <w:r>
        <w:rPr>
          <w:rFonts w:ascii="Calibri" w:hAnsi="Calibri"/>
          <w:b/>
          <w:color w:val="525866"/>
          <w:sz w:val="22"/>
        </w:rPr>
        <w:t xml:space="preserve">AI Spend Shifting to Application Layer — Positive: </w:t>
      </w:r>
      <w:r>
        <w:rPr>
          <w:rFonts w:ascii="Calibri" w:hAnsi="Calibri"/>
          <w:color w:val="525866"/>
          <w:sz w:val="22"/>
        </w:rPr>
        <w:t>EXLS noted that over the last 12 months, most AI spend went to infrastructure and models, with “very little spend” on the “app layer and AI enablement layer.” Going forward, they expect “much more spend” to shift to apps and AI enablement. This shift drives demand for Gartner’s advisory services as enterprises need guidance on which applications and enablement tools to prioritize.</w:t>
      </w:r>
    </w:p>
    <w:p>
      <w:pPr>
        <w:pStyle w:val="ListBullet"/>
        <w:ind w:left="360" w:hanging="360"/>
      </w:pPr>
      <w:r>
        <w:rPr>
          <w:rFonts w:ascii="Calibri" w:hAnsi="Calibri"/>
          <w:b/>
          <w:color w:val="525866"/>
          <w:sz w:val="22"/>
        </w:rPr>
        <w:t xml:space="preserve">Macroeconomic Environment Unsettled — Negative: </w:t>
      </w:r>
      <w:r>
        <w:rPr>
          <w:rFonts w:ascii="Calibri" w:hAnsi="Calibri"/>
          <w:color w:val="525866"/>
          <w:sz w:val="22"/>
        </w:rPr>
        <w:t>EXLS noted the “macroeconomic environment continues to be a little bit unsettled” and that winning CIO support for AI enablement “is hard.” This is consistent with Gartner’s commentary on elongated decision cycles.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Period</w:t>
            </w:r>
          </w:p>
        </w:tc>
        <w:tc>
          <w:tcPr>
            <w:tcW w:type="dxa" w:w="2160"/>
            <w:shd w:val="clear" w:color="auto" w:fill="3B4259"/>
          </w:tcPr>
          <w:p>
            <w:r>
              <w:rPr>
                <w:rFonts w:ascii="Calibri" w:hAnsi="Calibri"/>
                <w:b/>
                <w:color w:val="FFFFFF"/>
                <w:sz w:val="22"/>
              </w:rPr>
              <w:t>Key Signal for Gartner</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IBM</w:t>
            </w:r>
          </w:p>
        </w:tc>
        <w:tc>
          <w:tcPr>
            <w:tcW w:type="dxa" w:w="2160"/>
          </w:tcPr>
          <w:p>
            <w:r>
              <w:rPr>
                <w:rFonts w:ascii="Calibri" w:hAnsi="Calibri"/>
                <w:sz w:val="22"/>
              </w:rPr>
              <w:t>Q2 2026 (Apr–Jun)</w:t>
            </w:r>
          </w:p>
        </w:tc>
        <w:tc>
          <w:tcPr>
            <w:tcW w:type="dxa" w:w="2160"/>
          </w:tcPr>
          <w:p>
            <w:r>
              <w:rPr>
                <w:rFonts w:ascii="Calibri" w:hAnsi="Calibri"/>
                <w:sz w:val="22"/>
              </w:rPr>
              <w:t>Recurring/subscription revenue resilient; AI consulting demand growing; late-June CapEx reallocation disrupted large deal closings</w:t>
            </w:r>
          </w:p>
        </w:tc>
        <w:tc>
          <w:tcPr>
            <w:tcW w:type="dxa" w:w="2160"/>
          </w:tcPr>
          <w:p>
            <w:r>
              <w:rPr>
                <w:rFonts w:ascii="Calibri" w:hAnsi="Calibri"/>
                <w:b/>
                <w:sz w:val="22"/>
              </w:rPr>
              <w:t>Mixed</w:t>
            </w:r>
          </w:p>
        </w:tc>
      </w:tr>
      <w:tr>
        <w:tc>
          <w:tcPr>
            <w:tcW w:type="dxa" w:w="2160"/>
          </w:tcPr>
          <w:p>
            <w:r>
              <w:rPr>
                <w:rFonts w:ascii="Calibri" w:hAnsi="Calibri"/>
                <w:sz w:val="22"/>
              </w:rPr>
              <w:t>Accenture</w:t>
            </w:r>
          </w:p>
        </w:tc>
        <w:tc>
          <w:tcPr>
            <w:tcW w:type="dxa" w:w="2160"/>
          </w:tcPr>
          <w:p>
            <w:r>
              <w:rPr>
                <w:rFonts w:ascii="Calibri" w:hAnsi="Calibri"/>
                <w:sz w:val="22"/>
              </w:rPr>
              <w:t>Q3 FY2026 (Apr–Jun)</w:t>
            </w:r>
          </w:p>
        </w:tc>
        <w:tc>
          <w:tcPr>
            <w:tcW w:type="dxa" w:w="2160"/>
          </w:tcPr>
          <w:p>
            <w:r>
              <w:rPr>
                <w:rFonts w:ascii="Calibri" w:hAnsi="Calibri"/>
                <w:sz w:val="22"/>
              </w:rPr>
              <w:t>Middle East conflict caused ~$100M revenue miss and $400M sales impact from longer decision-making; AI demand building every quarter; budgets not increasing</w:t>
            </w:r>
          </w:p>
        </w:tc>
        <w:tc>
          <w:tcPr>
            <w:tcW w:type="dxa" w:w="2160"/>
          </w:tcPr>
          <w:p>
            <w:r>
              <w:rPr>
                <w:rFonts w:ascii="Calibri" w:hAnsi="Calibri"/>
                <w:b/>
                <w:color w:val="E5484D"/>
                <w:sz w:val="22"/>
              </w:rPr>
              <w:t>Negative (near-term)</w:t>
            </w:r>
          </w:p>
        </w:tc>
      </w:tr>
      <w:tr>
        <w:tc>
          <w:tcPr>
            <w:tcW w:type="dxa" w:w="2160"/>
          </w:tcPr>
          <w:p>
            <w:r>
              <w:rPr>
                <w:rFonts w:ascii="Calibri" w:hAnsi="Calibri"/>
                <w:sz w:val="22"/>
              </w:rPr>
              <w:t>Cognizant</w:t>
            </w:r>
          </w:p>
        </w:tc>
        <w:tc>
          <w:tcPr>
            <w:tcW w:type="dxa" w:w="2160"/>
          </w:tcPr>
          <w:p>
            <w:r>
              <w:rPr>
                <w:rFonts w:ascii="Calibri" w:hAnsi="Calibri"/>
                <w:sz w:val="22"/>
              </w:rPr>
              <w:t>Q2 2026 (Apr–Jun)</w:t>
            </w:r>
          </w:p>
        </w:tc>
        <w:tc>
          <w:tcPr>
            <w:tcW w:type="dxa" w:w="2160"/>
          </w:tcPr>
          <w:p>
            <w:r>
              <w:rPr>
                <w:rFonts w:ascii="Calibri" w:hAnsi="Calibri"/>
                <w:sz w:val="22"/>
              </w:rPr>
              <w:t>Cautious demand environment persists; discretionary spend tightly scrutinized; AI adoption accelerating; 2/3 of Global 2000 haven’t realized AI productivity gains (Gartner’s opportunity)</w:t>
            </w:r>
          </w:p>
        </w:tc>
        <w:tc>
          <w:tcPr>
            <w:tcW w:type="dxa" w:w="2160"/>
          </w:tcPr>
          <w:p>
            <w:r>
              <w:rPr>
                <w:rFonts w:ascii="Calibri" w:hAnsi="Calibri"/>
                <w:b/>
                <w:sz w:val="22"/>
              </w:rPr>
              <w:t>Mixed</w:t>
            </w:r>
          </w:p>
        </w:tc>
      </w:tr>
      <w:tr>
        <w:tc>
          <w:tcPr>
            <w:tcW w:type="dxa" w:w="2160"/>
          </w:tcPr>
          <w:p>
            <w:r>
              <w:rPr>
                <w:rFonts w:ascii="Calibri" w:hAnsi="Calibri"/>
                <w:sz w:val="22"/>
              </w:rPr>
              <w:t>Infosys</w:t>
            </w:r>
          </w:p>
        </w:tc>
        <w:tc>
          <w:tcPr>
            <w:tcW w:type="dxa" w:w="2160"/>
          </w:tcPr>
          <w:p>
            <w:r>
              <w:rPr>
                <w:rFonts w:ascii="Calibri" w:hAnsi="Calibri"/>
                <w:sz w:val="22"/>
              </w:rPr>
              <w:t>Q1 FY2027 (Apr–Jun)</w:t>
            </w:r>
          </w:p>
        </w:tc>
        <w:tc>
          <w:tcPr>
            <w:tcW w:type="dxa" w:w="2160"/>
          </w:tcPr>
          <w:p>
            <w:r>
              <w:rPr>
                <w:rFonts w:ascii="Calibri" w:hAnsi="Calibri"/>
                <w:sz w:val="22"/>
              </w:rPr>
              <w:t>Volumes soft and below expectations; budgets tightly controlled by tariffs/geopolitics; AI services growing double-digits; large deal pipeline healthy but decision cycles longer</w:t>
            </w:r>
          </w:p>
        </w:tc>
        <w:tc>
          <w:tcPr>
            <w:tcW w:type="dxa" w:w="2160"/>
          </w:tcPr>
          <w:p>
            <w:r>
              <w:rPr>
                <w:rFonts w:ascii="Calibri" w:hAnsi="Calibri"/>
                <w:b/>
                <w:color w:val="E5484D"/>
                <w:sz w:val="22"/>
              </w:rPr>
              <w:t>Negative (near-term)</w:t>
            </w:r>
          </w:p>
        </w:tc>
      </w:tr>
      <w:tr>
        <w:tc>
          <w:tcPr>
            <w:tcW w:type="dxa" w:w="2160"/>
          </w:tcPr>
          <w:p>
            <w:r>
              <w:rPr>
                <w:rFonts w:ascii="Calibri" w:hAnsi="Calibri"/>
                <w:sz w:val="22"/>
              </w:rPr>
              <w:t>EXLS</w:t>
            </w:r>
          </w:p>
        </w:tc>
        <w:tc>
          <w:tcPr>
            <w:tcW w:type="dxa" w:w="2160"/>
          </w:tcPr>
          <w:p>
            <w:r>
              <w:rPr>
                <w:rFonts w:ascii="Calibri" w:hAnsi="Calibri"/>
                <w:sz w:val="22"/>
              </w:rPr>
              <w:t>Q2 2026 (Apr–Jun)</w:t>
            </w:r>
          </w:p>
        </w:tc>
        <w:tc>
          <w:tcPr>
            <w:tcW w:type="dxa" w:w="2160"/>
          </w:tcPr>
          <w:p>
            <w:r>
              <w:rPr>
                <w:rFonts w:ascii="Calibri" w:hAnsi="Calibri"/>
                <w:sz w:val="22"/>
              </w:rPr>
              <w:t>Enterprises moving from AI pilots to production; decision velocity increasing; Gartner cited directly on earnings call; AI spend shifting to application layer</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$600M board-approved buyback expansion</w:t>
      </w:r>
      <w:r>
        <w:rPr>
          <w:rFonts w:ascii="Calibri" w:hAnsi="Calibri"/>
          <w:color w:val="525866"/>
          <w:sz w:val="22"/>
        </w:rPr>
        <w:t xml:space="preserve"> — combined with the $535M already deployed in Q1, this signals management’s conviction in the stock’s undervaluation and provides a meaningful EPS tailwind. The BTI transformation progress and AskGartner engagement data are the key operational signals to watch at Q2 earnings.</w:t>
      </w:r>
    </w:p>
    <w:p>
      <w:pPr>
        <w:pStyle w:val="ListBullet"/>
        <w:ind w:left="360" w:hanging="360"/>
      </w:pPr>
      <w:r>
        <w:rPr>
          <w:rFonts w:ascii="Calibri" w:hAnsi="Calibri"/>
          <w:b/>
          <w:color w:val="525866"/>
          <w:sz w:val="22"/>
        </w:rPr>
        <w:t xml:space="preserve">May 5, 2026 — Q1 2026 Earnings Beat &amp; Guidance Raise: </w:t>
      </w:r>
      <w:r>
        <w:rPr>
          <w:rFonts w:ascii="Calibri" w:hAnsi="Calibri"/>
          <w:i/>
          <w:color w:val="525866"/>
          <w:sz w:val="22"/>
        </w:rPr>
        <w:t xml:space="preserve">Gartner reported Q1 2026 EPS of $3.32 (vs. $2.89 consensus, +14.9% beat) and raised full-year EBITDA guidance to ≥$1.545B (+$30M), EPS to ≥$13.25, and FCF to ≥$1.16B. CV grew 1% YoY (3.5% ex-Federal), accelerating from Q4 2025. Engagement metrics hit their highest levels in three years. </w:t>
      </w:r>
      <w:r>
        <w:rPr>
          <w:rFonts w:ascii="Calibri" w:hAnsi="Calibri"/>
          <w:b/>
          <w:i/>
          <w:color w:val="525866"/>
          <w:sz w:val="22"/>
        </w:rPr>
        <w:t xml:space="preserve">Implication: </w:t>
      </w:r>
      <w:r>
        <w:rPr>
          <w:rFonts w:ascii="Calibri" w:hAnsi="Calibri"/>
          <w:i/>
          <w:color w:val="525866"/>
          <w:sz w:val="22"/>
        </w:rPr>
        <w:t>Sets a constructive baseline for Q2; management’s raised guidance and engagement data suggest the re-acceleration thesis is on track.</w:t>
      </w:r>
    </w:p>
    <w:p>
      <w:pPr>
        <w:pStyle w:val="ListBullet"/>
        <w:ind w:left="360" w:hanging="360"/>
      </w:pPr>
      <w:r>
        <w:rPr>
          <w:rFonts w:ascii="Calibri" w:hAnsi="Calibri"/>
          <w:b/>
          <w:color w:val="525866"/>
          <w:sz w:val="22"/>
        </w:rPr>
        <w:t xml:space="preserve">May 5, 2026 — Board Approves $600M Additional Share Buyback Authorization: </w:t>
      </w:r>
      <w:r>
        <w:rPr>
          <w:rFonts w:ascii="Calibri" w:hAnsi="Calibri"/>
          <w:i/>
          <w:color w:val="525866"/>
          <w:sz w:val="22"/>
        </w:rPr>
        <w:t xml:space="preserve">The board expanded the buyback program by $600M, following $535M deployed in Q1 alone (reducing share count by ~4%). Combined with the existing authorization, this represents a significant capital return commitment. </w:t>
      </w:r>
      <w:r>
        <w:rPr>
          <w:rFonts w:ascii="Calibri" w:hAnsi="Calibri"/>
          <w:b/>
          <w:i/>
          <w:color w:val="525866"/>
          <w:sz w:val="22"/>
        </w:rPr>
        <w:t xml:space="preserve">Implication: </w:t>
      </w:r>
      <w:r>
        <w:rPr>
          <w:rFonts w:ascii="Calibri" w:hAnsi="Calibri"/>
          <w:i/>
          <w:color w:val="525866"/>
          <w:sz w:val="22"/>
        </w:rPr>
        <w:t>Buybacks are a key driver of the &gt;12% 3-year EPS CAGR target; continued aggressive repurchases at current depressed prices would be highly accretive.</w:t>
      </w:r>
    </w:p>
    <w:p>
      <w:pPr>
        <w:pStyle w:val="ListBullet"/>
        <w:ind w:left="360" w:hanging="360"/>
      </w:pPr>
      <w:r>
        <w:rPr>
          <w:rFonts w:ascii="Calibri" w:hAnsi="Calibri"/>
          <w:b/>
          <w:color w:val="525866"/>
          <w:sz w:val="22"/>
        </w:rPr>
        <w:t xml:space="preserve">May 19, 2026 — Gartner to Participate in Upcoming Investor Conferences: </w:t>
      </w:r>
      <w:r>
        <w:rPr>
          <w:rFonts w:ascii="Calibri" w:hAnsi="Calibri"/>
          <w:i/>
          <w:color w:val="525866"/>
          <w:sz w:val="22"/>
        </w:rPr>
        <w:t xml:space="preserve">Gartner announced participation in investor conferences in late May/early June 2026. </w:t>
      </w:r>
      <w:r>
        <w:rPr>
          <w:rFonts w:ascii="Calibri" w:hAnsi="Calibri"/>
          <w:b/>
          <w:i/>
          <w:color w:val="525866"/>
          <w:sz w:val="22"/>
        </w:rPr>
        <w:t xml:space="preserve">Implication: </w:t>
      </w:r>
      <w:r>
        <w:rPr>
          <w:rFonts w:ascii="Calibri" w:hAnsi="Calibri"/>
          <w:i/>
          <w:color w:val="525866"/>
          <w:sz w:val="22"/>
        </w:rPr>
        <w:t>Management had the opportunity to update investors on Q2 trends; no pre-announcement or guidance revision was issued, suggesting results are tracking in line with or above expectations.</w:t>
      </w:r>
    </w:p>
    <w:p>
      <w:pPr>
        <w:pStyle w:val="ListBullet"/>
        <w:ind w:left="360" w:hanging="360"/>
      </w:pPr>
      <w:r>
        <w:rPr>
          <w:rFonts w:ascii="Calibri" w:hAnsi="Calibri"/>
          <w:b/>
          <w:color w:val="525866"/>
          <w:sz w:val="22"/>
        </w:rPr>
        <w:t xml:space="preserve">Q1 2026 — BTI Transformation Progress (Reported at Q1 Earnings): </w:t>
      </w:r>
      <w:r>
        <w:rPr>
          <w:rFonts w:ascii="Calibri" w:hAnsi="Calibri"/>
          <w:i/>
          <w:color w:val="525866"/>
          <w:sz w:val="22"/>
        </w:rPr>
        <w:t xml:space="preserve">High-impact documents up 22%, Insights library volume up 19%, same-day event insights more than doubled, AskGartner now supports 25 languages. Overall engagement up 170 bps YoY; digital engagement up 160 bps; human interactions up 80 bps. </w:t>
      </w:r>
      <w:r>
        <w:rPr>
          <w:rFonts w:ascii="Calibri" w:hAnsi="Calibri"/>
          <w:b/>
          <w:i/>
          <w:color w:val="525866"/>
          <w:sz w:val="22"/>
        </w:rPr>
        <w:t xml:space="preserve">Implication: </w:t>
      </w:r>
      <w:r>
        <w:rPr>
          <w:rFonts w:ascii="Calibri" w:hAnsi="Calibri"/>
          <w:i/>
          <w:color w:val="525866"/>
          <w:sz w:val="22"/>
        </w:rPr>
        <w:t>Engagement is the leading indicator for wallet retention and new business; continued improvement in Q2 would be a strong positive signal for CV acceleration.</w:t>
      </w:r>
    </w:p>
    <w:p>
      <w:pPr>
        <w:pStyle w:val="ListBullet"/>
        <w:ind w:left="360" w:hanging="360"/>
      </w:pPr>
      <w:r>
        <w:rPr>
          <w:rFonts w:ascii="Calibri" w:hAnsi="Calibri"/>
          <w:b/>
          <w:color w:val="525866"/>
          <w:sz w:val="22"/>
        </w:rPr>
        <w:t xml:space="preserve">Q2 2026 — U.S. Federal Lapping Begins: </w:t>
      </w:r>
      <w:r>
        <w:rPr>
          <w:rFonts w:ascii="Calibri" w:hAnsi="Calibri"/>
          <w:i/>
          <w:color w:val="525866"/>
          <w:sz w:val="22"/>
        </w:rPr>
        <w:t xml:space="preserve">Q2 2026 is the first quarter in which Gartner begins to lap the worst DOGE-driven federal cancellations (March–April 2025). Federal CV exited Q1 at ~$114M with management assuming flat performance in 2026. Q1 federal renewal rates were significantly better than the prior year. </w:t>
      </w:r>
      <w:r>
        <w:rPr>
          <w:rFonts w:ascii="Calibri" w:hAnsi="Calibri"/>
          <w:b/>
          <w:i/>
          <w:color w:val="525866"/>
          <w:sz w:val="22"/>
        </w:rPr>
        <w:t xml:space="preserve">Implication: </w:t>
      </w:r>
      <w:r>
        <w:rPr>
          <w:rFonts w:ascii="Calibri" w:hAnsi="Calibri"/>
          <w:i/>
          <w:color w:val="525866"/>
          <w:sz w:val="22"/>
        </w:rPr>
        <w:t>The federal headwind to YoY CV growth comparisons should begin to ease in Q2, providing a tailwind to reported total CV growth rates.</w:t>
      </w:r>
    </w:p>
    <w:p>
      <w:pPr>
        <w:pStyle w:val="ListBullet"/>
        <w:ind w:left="360" w:hanging="360"/>
      </w:pPr>
      <w:r>
        <w:rPr>
          <w:rFonts w:ascii="Calibri" w:hAnsi="Calibri"/>
          <w:b/>
          <w:color w:val="525866"/>
          <w:sz w:val="22"/>
        </w:rPr>
        <w:t xml:space="preserve">Q2 2026 — Geopolitical Disruption (Iran War / Middle East Conflict): </w:t>
      </w:r>
      <w:r>
        <w:rPr>
          <w:rFonts w:ascii="Calibri" w:hAnsi="Calibri"/>
          <w:i/>
          <w:color w:val="525866"/>
          <w:sz w:val="22"/>
        </w:rPr>
        <w:t xml:space="preserve">The onset of the Iran war in March caused decision-making to seize up among companies exposed to oil prices and Middle East markets. Accenture quantified a ~$100M revenue impact and ~$400M sales impact from the conflict in its April–June quarter. Many March-delayed deals closed in April, but the conflict’s indirect effects on enterprise decision-making persisted through June per Accenture’s commentary. </w:t>
      </w:r>
      <w:r>
        <w:rPr>
          <w:rFonts w:ascii="Calibri" w:hAnsi="Calibri"/>
          <w:b/>
          <w:i/>
          <w:color w:val="525866"/>
          <w:sz w:val="22"/>
        </w:rPr>
        <w:t xml:space="preserve">Implication: </w:t>
      </w:r>
      <w:r>
        <w:rPr>
          <w:rFonts w:ascii="Calibri" w:hAnsi="Calibri"/>
          <w:i/>
          <w:color w:val="525866"/>
          <w:sz w:val="22"/>
        </w:rPr>
        <w:t>A potential headwind to Gartner’s new business in the back half of Q2; the magnitude of the impact on Gartner’s pipeline is the key unknown.</w:t>
      </w:r>
    </w:p>
    <w:p>
      <w:pPr>
        <w:pStyle w:val="ListBullet"/>
        <w:ind w:left="360" w:hanging="360"/>
      </w:pPr>
      <w:r>
        <w:rPr>
          <w:rFonts w:ascii="Calibri" w:hAnsi="Calibri"/>
          <w:b/>
          <w:color w:val="525866"/>
          <w:sz w:val="22"/>
        </w:rPr>
        <w:t xml:space="preserve">Q2 2026 — Tariff-Affected Industry Headwinds Continue: </w:t>
      </w:r>
      <w:r>
        <w:rPr>
          <w:rFonts w:ascii="Calibri" w:hAnsi="Calibri"/>
          <w:i/>
          <w:color w:val="525866"/>
          <w:sz w:val="22"/>
        </w:rPr>
        <w:t xml:space="preserve">Management quantified that a significant portion of total CV sits with clients whose businesses depend on supply chains and importation/exportation. Infosys and Cognizant both confirmed that tariffs and geopolitical uncertainty are keeping budgets tightly controlled in retail, CPG, and manufacturing. </w:t>
      </w:r>
      <w:r>
        <w:rPr>
          <w:rFonts w:ascii="Calibri" w:hAnsi="Calibri"/>
          <w:b/>
          <w:i/>
          <w:color w:val="525866"/>
          <w:sz w:val="22"/>
        </w:rPr>
        <w:t xml:space="preserve">Implication: </w:t>
      </w:r>
      <w:r>
        <w:rPr>
          <w:rFonts w:ascii="Calibri" w:hAnsi="Calibri"/>
          <w:i/>
          <w:color w:val="525866"/>
          <w:sz w:val="22"/>
        </w:rPr>
        <w:t>Continued headwind to new business in tariff-sensitive verticals; partially offset by the lapping of federal cancellations.</w:t>
      </w:r>
    </w:p>
    <w:p>
      <w:pPr>
        <w:pStyle w:val="ListBullet"/>
        <w:ind w:left="360" w:hanging="360"/>
      </w:pPr>
      <w:r>
        <w:rPr>
          <w:rFonts w:ascii="Calibri" w:hAnsi="Calibri"/>
          <w:b/>
          <w:color w:val="525866"/>
          <w:sz w:val="22"/>
        </w:rPr>
        <w:t xml:space="preserve">Ongoing — AskGartner Rollout &amp; AI Demand: </w:t>
      </w:r>
      <w:r>
        <w:rPr>
          <w:rFonts w:ascii="Calibri" w:hAnsi="Calibri"/>
          <w:i/>
          <w:color w:val="525866"/>
          <w:sz w:val="22"/>
        </w:rPr>
        <w:t xml:space="preserve">Beta rollout to all licensed users completed by end of October 2025. Early data shows meaningfully better retention among AskGartner users, who ask more questions, read more documents, and engage with a broader diversity of assets. AI remains Gartner’s highest-demand topic. </w:t>
      </w:r>
      <w:r>
        <w:rPr>
          <w:rFonts w:ascii="Calibri" w:hAnsi="Calibri"/>
          <w:b/>
          <w:i/>
          <w:color w:val="525866"/>
          <w:sz w:val="22"/>
        </w:rPr>
        <w:t xml:space="preserve">Implication: </w:t>
      </w:r>
      <w:r>
        <w:rPr>
          <w:rFonts w:ascii="Calibri" w:hAnsi="Calibri"/>
          <w:i/>
          <w:color w:val="525866"/>
          <w:sz w:val="22"/>
        </w:rPr>
        <w:t>AskGartner is the most important medium-term retention driver; continued engagement improvement in Q2 would validate the BTI transformation thesis.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 the insider activity is dominated by routine equity compensation events (RSU vesting, tax withholding, and director stock unit grants). </w:t>
      </w:r>
      <w:r>
        <w:rPr>
          <w:rFonts w:ascii="Calibri" w:hAnsi="Calibri"/>
          <w:b/>
          <w:color w:val="525866"/>
          <w:sz w:val="22"/>
        </w:rPr>
        <w:t>The absence of any open-market selling by senior management at current depressed price levels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RSU Grant (Compensation)</w:t>
            </w:r>
          </w:p>
        </w:tc>
        <w:tc>
          <w:tcPr>
            <w:tcW w:type="dxa" w:w="1440"/>
          </w:tcPr>
          <w:p>
            <w:r>
              <w:rPr>
                <w:rFonts w:ascii="Calibri" w:hAnsi="Calibri"/>
                <w:sz w:val="22"/>
              </w:rPr>
              <w:t>1,489 each</w:t>
            </w:r>
          </w:p>
        </w:tc>
        <w:tc>
          <w:tcPr>
            <w:tcW w:type="dxa" w:w="1440"/>
          </w:tcPr>
          <w:p>
            <w:r>
              <w:rPr>
                <w:rFonts w:ascii="Calibri" w:hAnsi="Calibri"/>
                <w:sz w:val="22"/>
              </w:rPr>
              <w:t>May 28, 2026</w:t>
            </w:r>
          </w:p>
        </w:tc>
        <w:tc>
          <w:tcPr>
            <w:tcW w:type="dxa" w:w="1440"/>
          </w:tcPr>
          <w:p>
            <w:r>
              <w:rPr>
                <w:rFonts w:ascii="Calibri" w:hAnsi="Calibri"/>
                <w:sz w:val="22"/>
              </w:rPr>
              <w:t>Routine annual director equity compensation grant; not a market signal</w:t>
            </w:r>
          </w:p>
        </w:tc>
      </w:tr>
      <w:tr>
        <w:tc>
          <w:tcPr>
            <w:tcW w:type="dxa" w:w="1440"/>
          </w:tcPr>
          <w:p>
            <w:r>
              <w:rPr>
                <w:rFonts w:ascii="Calibri" w:hAnsi="Calibri"/>
                <w:sz w:val="22"/>
              </w:rPr>
              <w:t>HALL EUGENE A</w:t>
            </w:r>
          </w:p>
        </w:tc>
        <w:tc>
          <w:tcPr>
            <w:tcW w:type="dxa" w:w="1440"/>
          </w:tcPr>
          <w:p>
            <w:r>
              <w:rPr>
                <w:rFonts w:ascii="Calibri" w:hAnsi="Calibri"/>
                <w:sz w:val="22"/>
              </w:rPr>
              <w:t>Chairman &amp; CEO</w:t>
            </w:r>
          </w:p>
        </w:tc>
        <w:tc>
          <w:tcPr>
            <w:tcW w:type="dxa" w:w="1440"/>
          </w:tcPr>
          <w:p>
            <w:r>
              <w:rPr>
                <w:rFonts w:ascii="Calibri" w:hAnsi="Calibri"/>
                <w:sz w:val="22"/>
              </w:rPr>
              <w:t>Equity Award (J-code)</w:t>
            </w:r>
          </w:p>
        </w:tc>
        <w:tc>
          <w:tcPr>
            <w:tcW w:type="dxa" w:w="1440"/>
          </w:tcPr>
          <w:p>
            <w:r>
              <w:rPr>
                <w:rFonts w:ascii="Calibri" w:hAnsi="Calibri"/>
                <w:sz w:val="22"/>
              </w:rPr>
              <w:t>38 shares</w:t>
            </w:r>
          </w:p>
        </w:tc>
        <w:tc>
          <w:tcPr>
            <w:tcW w:type="dxa" w:w="1440"/>
          </w:tcPr>
          <w:p>
            <w:r>
              <w:rPr>
                <w:rFonts w:ascii="Calibri" w:hAnsi="Calibri"/>
                <w:sz w:val="22"/>
              </w:rPr>
              <w:t>May 29, 2026</w:t>
            </w:r>
          </w:p>
        </w:tc>
        <w:tc>
          <w:tcPr>
            <w:tcW w:type="dxa" w:w="1440"/>
          </w:tcPr>
          <w:p>
            <w:r>
              <w:rPr>
                <w:rFonts w:ascii="Calibri" w:hAnsi="Calibri"/>
                <w:sz w:val="22"/>
              </w:rPr>
              <w:t>Equity plan award; not an open-market purchase or sale; no discretionary signal</w:t>
            </w:r>
          </w:p>
        </w:tc>
      </w:tr>
      <w:tr>
        <w:tc>
          <w:tcPr>
            <w:tcW w:type="dxa" w:w="1440"/>
          </w:tcPr>
          <w:p>
            <w:r>
              <w:rPr>
                <w:rFonts w:ascii="Calibri" w:hAnsi="Calibri"/>
                <w:sz w:val="22"/>
              </w:rPr>
              <w:t>Safian Craig</w:t>
            </w:r>
          </w:p>
        </w:tc>
        <w:tc>
          <w:tcPr>
            <w:tcW w:type="dxa" w:w="1440"/>
          </w:tcPr>
          <w:p>
            <w:r>
              <w:rPr>
                <w:rFonts w:ascii="Calibri" w:hAnsi="Calibri"/>
                <w:sz w:val="22"/>
              </w:rPr>
              <w:t>EVP &amp; CFO</w:t>
            </w:r>
          </w:p>
        </w:tc>
        <w:tc>
          <w:tcPr>
            <w:tcW w:type="dxa" w:w="1440"/>
          </w:tcPr>
          <w:p>
            <w:r>
              <w:rPr>
                <w:rFonts w:ascii="Calibri" w:hAnsi="Calibri"/>
                <w:sz w:val="22"/>
              </w:rPr>
              <w:t>Equity Award (J-code)</w:t>
            </w:r>
          </w:p>
        </w:tc>
        <w:tc>
          <w:tcPr>
            <w:tcW w:type="dxa" w:w="1440"/>
          </w:tcPr>
          <w:p>
            <w:r>
              <w:rPr>
                <w:rFonts w:ascii="Calibri" w:hAnsi="Calibri"/>
                <w:sz w:val="22"/>
              </w:rPr>
              <w:t>22 shares</w:t>
            </w:r>
          </w:p>
        </w:tc>
        <w:tc>
          <w:tcPr>
            <w:tcW w:type="dxa" w:w="1440"/>
          </w:tcPr>
          <w:p>
            <w:r>
              <w:rPr>
                <w:rFonts w:ascii="Calibri" w:hAnsi="Calibri"/>
                <w:sz w:val="22"/>
              </w:rPr>
              <w:t>May 29, 2026</w:t>
            </w:r>
          </w:p>
        </w:tc>
        <w:tc>
          <w:tcPr>
            <w:tcW w:type="dxa" w:w="1440"/>
          </w:tcPr>
          <w:p>
            <w:r>
              <w:rPr>
                <w:rFonts w:ascii="Calibri" w:hAnsi="Calibri"/>
                <w:sz w:val="22"/>
              </w:rPr>
              <w:t>Equity plan award; not an open-market purchase or sale; no discretionary signal</w:t>
            </w:r>
          </w:p>
        </w:tc>
      </w:tr>
      <w:tr>
        <w:tc>
          <w:tcPr>
            <w:tcW w:type="dxa" w:w="1440"/>
          </w:tcPr>
          <w:p>
            <w:r>
              <w:rPr>
                <w:rFonts w:ascii="Calibri" w:hAnsi="Calibri"/>
                <w:sz w:val="22"/>
              </w:rPr>
              <w:t>van Ham Dick</w:t>
            </w:r>
          </w:p>
        </w:tc>
        <w:tc>
          <w:tcPr>
            <w:tcW w:type="dxa" w:w="1440"/>
          </w:tcPr>
          <w:p>
            <w:r>
              <w:rPr>
                <w:rFonts w:ascii="Calibri" w:hAnsi="Calibri"/>
                <w:sz w:val="22"/>
              </w:rPr>
              <w:t>EVP, Global Technology Sales</w:t>
            </w:r>
          </w:p>
        </w:tc>
        <w:tc>
          <w:tcPr>
            <w:tcW w:type="dxa" w:w="1440"/>
          </w:tcPr>
          <w:p>
            <w:r>
              <w:rPr>
                <w:rFonts w:ascii="Calibri" w:hAnsi="Calibri"/>
                <w:sz w:val="22"/>
              </w:rPr>
              <w:t>Equity Award (J-code)</w:t>
            </w:r>
          </w:p>
        </w:tc>
        <w:tc>
          <w:tcPr>
            <w:tcW w:type="dxa" w:w="1440"/>
          </w:tcPr>
          <w:p>
            <w:r>
              <w:rPr>
                <w:rFonts w:ascii="Calibri" w:hAnsi="Calibri"/>
                <w:sz w:val="22"/>
              </w:rPr>
              <w:t>38 shares</w:t>
            </w:r>
          </w:p>
        </w:tc>
        <w:tc>
          <w:tcPr>
            <w:tcW w:type="dxa" w:w="1440"/>
          </w:tcPr>
          <w:p>
            <w:r>
              <w:rPr>
                <w:rFonts w:ascii="Calibri" w:hAnsi="Calibri"/>
                <w:sz w:val="22"/>
              </w:rPr>
              <w:t>May 29, 2026</w:t>
            </w:r>
          </w:p>
        </w:tc>
        <w:tc>
          <w:tcPr>
            <w:tcW w:type="dxa" w:w="1440"/>
          </w:tcPr>
          <w:p>
            <w:r>
              <w:rPr>
                <w:rFonts w:ascii="Calibri" w:hAnsi="Calibri"/>
                <w:sz w:val="22"/>
              </w:rPr>
              <w:t>Equity plan award; not an open-market purchase or sale; no discretionary signal</w:t>
            </w:r>
          </w:p>
        </w:tc>
      </w:tr>
      <w:tr>
        <w:tc>
          <w:tcPr>
            <w:tcW w:type="dxa" w:w="1440"/>
          </w:tcPr>
          <w:p>
            <w:r>
              <w:rPr>
                <w:rFonts w:ascii="Calibri" w:hAnsi="Calibri"/>
                <w:sz w:val="22"/>
              </w:rPr>
              <w:t>Kranich Robin B</w:t>
            </w:r>
          </w:p>
        </w:tc>
        <w:tc>
          <w:tcPr>
            <w:tcW w:type="dxa" w:w="1440"/>
          </w:tcPr>
          <w:p>
            <w:r>
              <w:rPr>
                <w:rFonts w:ascii="Calibri" w:hAnsi="Calibri"/>
                <w:sz w:val="22"/>
              </w:rPr>
              <w:t>EVP &amp; CHRO</w:t>
            </w:r>
          </w:p>
        </w:tc>
        <w:tc>
          <w:tcPr>
            <w:tcW w:type="dxa" w:w="1440"/>
          </w:tcPr>
          <w:p>
            <w:r>
              <w:rPr>
                <w:rFonts w:ascii="Calibri" w:hAnsi="Calibri"/>
                <w:sz w:val="22"/>
              </w:rPr>
              <w:t>Equity Award (J-code)</w:t>
            </w:r>
          </w:p>
        </w:tc>
        <w:tc>
          <w:tcPr>
            <w:tcW w:type="dxa" w:w="1440"/>
          </w:tcPr>
          <w:p>
            <w:r>
              <w:rPr>
                <w:rFonts w:ascii="Calibri" w:hAnsi="Calibri"/>
                <w:sz w:val="22"/>
              </w:rPr>
              <w:t>38 shares</w:t>
            </w:r>
          </w:p>
        </w:tc>
        <w:tc>
          <w:tcPr>
            <w:tcW w:type="dxa" w:w="1440"/>
          </w:tcPr>
          <w:p>
            <w:r>
              <w:rPr>
                <w:rFonts w:ascii="Calibri" w:hAnsi="Calibri"/>
                <w:sz w:val="22"/>
              </w:rPr>
              <w:t>May 29, 2026</w:t>
            </w:r>
          </w:p>
        </w:tc>
        <w:tc>
          <w:tcPr>
            <w:tcW w:type="dxa" w:w="1440"/>
          </w:tcPr>
          <w:p>
            <w:r>
              <w:rPr>
                <w:rFonts w:ascii="Calibri" w:hAnsi="Calibri"/>
                <w:sz w:val="22"/>
              </w:rPr>
              <w:t>Equity plan award; not an open-market purchase or sale; no discretionary signal</w:t>
            </w:r>
          </w:p>
        </w:tc>
      </w:tr>
      <w:tr>
        <w:tc>
          <w:tcPr>
            <w:tcW w:type="dxa" w:w="1440"/>
          </w:tcPr>
          <w:p>
            <w:r>
              <w:rPr>
                <w:rFonts w:ascii="Calibri" w:hAnsi="Calibri"/>
                <w:sz w:val="22"/>
              </w:rPr>
              <w:t>Serra Eileen</w:t>
            </w:r>
          </w:p>
        </w:tc>
        <w:tc>
          <w:tcPr>
            <w:tcW w:type="dxa" w:w="1440"/>
          </w:tcPr>
          <w:p>
            <w:r>
              <w:rPr>
                <w:rFonts w:ascii="Calibri" w:hAnsi="Calibri"/>
                <w:sz w:val="22"/>
              </w:rPr>
              <w:t>Director</w:t>
            </w:r>
          </w:p>
        </w:tc>
        <w:tc>
          <w:tcPr>
            <w:tcW w:type="dxa" w:w="1440"/>
          </w:tcPr>
          <w:p>
            <w:r>
              <w:rPr>
                <w:rFonts w:ascii="Calibri" w:hAnsi="Calibri"/>
                <w:sz w:val="22"/>
              </w:rPr>
              <w:t>RSU Vest / Conversion</w:t>
            </w:r>
          </w:p>
        </w:tc>
        <w:tc>
          <w:tcPr>
            <w:tcW w:type="dxa" w:w="1440"/>
          </w:tcPr>
          <w:p>
            <w:r>
              <w:rPr>
                <w:rFonts w:ascii="Calibri" w:hAnsi="Calibri"/>
                <w:sz w:val="22"/>
              </w:rPr>
              <w:t>705 / 1,744 shares</w:t>
            </w:r>
          </w:p>
        </w:tc>
        <w:tc>
          <w:tcPr>
            <w:tcW w:type="dxa" w:w="1440"/>
          </w:tcPr>
          <w:p>
            <w:r>
              <w:rPr>
                <w:rFonts w:ascii="Calibri" w:hAnsi="Calibri"/>
                <w:sz w:val="22"/>
              </w:rPr>
              <w:t>Jun 1 &amp; Jun 8, 2026</w:t>
            </w:r>
          </w:p>
        </w:tc>
        <w:tc>
          <w:tcPr>
            <w:tcW w:type="dxa" w:w="1440"/>
          </w:tcPr>
          <w:p>
            <w:r>
              <w:rPr>
                <w:rFonts w:ascii="Calibri" w:hAnsi="Calibri"/>
                <w:sz w:val="22"/>
              </w:rPr>
              <w:t>RSU vesting events; routine compensation; not a discretionary sale</w:t>
            </w:r>
          </w:p>
        </w:tc>
      </w:tr>
      <w:tr>
        <w:tc>
          <w:tcPr>
            <w:tcW w:type="dxa" w:w="1440"/>
          </w:tcPr>
          <w:p>
            <w:r>
              <w:rPr>
                <w:rFonts w:ascii="Calibri" w:hAnsi="Calibri"/>
                <w:sz w:val="22"/>
              </w:rPr>
              <w:t>Rinello John J</w:t>
            </w:r>
          </w:p>
        </w:tc>
        <w:tc>
          <w:tcPr>
            <w:tcW w:type="dxa" w:w="1440"/>
          </w:tcPr>
          <w:p>
            <w:r>
              <w:rPr>
                <w:rFonts w:ascii="Calibri" w:hAnsi="Calibri"/>
                <w:sz w:val="22"/>
              </w:rPr>
              <w:t>EVP, Global Business Sales</w:t>
            </w:r>
          </w:p>
        </w:tc>
        <w:tc>
          <w:tcPr>
            <w:tcW w:type="dxa" w:w="1440"/>
          </w:tcPr>
          <w:p>
            <w:r>
              <w:rPr>
                <w:rFonts w:ascii="Calibri" w:hAnsi="Calibri"/>
                <w:sz w:val="22"/>
              </w:rPr>
              <w:t>RSU Vest + Tax Withholding (F-code)</w:t>
            </w:r>
          </w:p>
        </w:tc>
        <w:tc>
          <w:tcPr>
            <w:tcW w:type="dxa" w:w="1440"/>
          </w:tcPr>
          <w:p>
            <w:r>
              <w:rPr>
                <w:rFonts w:ascii="Calibri" w:hAnsi="Calibri"/>
                <w:sz w:val="22"/>
              </w:rPr>
              <w:t>71 vested / 22 withheld</w:t>
            </w:r>
          </w:p>
        </w:tc>
        <w:tc>
          <w:tcPr>
            <w:tcW w:type="dxa" w:w="1440"/>
          </w:tcPr>
          <w:p>
            <w:r>
              <w:rPr>
                <w:rFonts w:ascii="Calibri" w:hAnsi="Calibri"/>
                <w:sz w:val="22"/>
              </w:rPr>
              <w:t>Jun 30, 2026</w:t>
            </w:r>
          </w:p>
        </w:tc>
        <w:tc>
          <w:tcPr>
            <w:tcW w:type="dxa" w:w="1440"/>
          </w:tcPr>
          <w:p>
            <w:r>
              <w:rPr>
                <w:rFonts w:ascii="Calibri" w:hAnsi="Calibri"/>
                <w:sz w:val="22"/>
              </w:rPr>
              <w:t>Routine RSU vest with mandatory tax withholding; not a discretionary sale</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Director Stock Unit Grant (A-code)</w:t>
            </w:r>
          </w:p>
        </w:tc>
        <w:tc>
          <w:tcPr>
            <w:tcW w:type="dxa" w:w="1440"/>
          </w:tcPr>
          <w:p>
            <w:r>
              <w:rPr>
                <w:rFonts w:ascii="Calibri" w:hAnsi="Calibri"/>
                <w:sz w:val="22"/>
              </w:rPr>
              <w:t>100–215 units each</w:t>
            </w:r>
          </w:p>
        </w:tc>
        <w:tc>
          <w:tcPr>
            <w:tcW w:type="dxa" w:w="1440"/>
          </w:tcPr>
          <w:p>
            <w:r>
              <w:rPr>
                <w:rFonts w:ascii="Calibri" w:hAnsi="Calibri"/>
                <w:sz w:val="22"/>
              </w:rPr>
              <w:t>Jul 1, 2026</w:t>
            </w:r>
          </w:p>
        </w:tc>
        <w:tc>
          <w:tcPr>
            <w:tcW w:type="dxa" w:w="1440"/>
          </w:tcPr>
          <w:p>
            <w:r>
              <w:rPr>
                <w:rFonts w:ascii="Calibri" w:hAnsi="Calibri"/>
                <w:sz w:val="22"/>
              </w:rPr>
              <w:t>Routine quarterly director compensation in stock equivalents; not a market signal</w:t>
            </w:r>
          </w:p>
        </w:tc>
      </w:tr>
      <w:tr>
        <w:tc>
          <w:tcPr>
            <w:tcW w:type="dxa" w:w="1440"/>
          </w:tcPr>
          <w:p>
            <w:r>
              <w:rPr>
                <w:rFonts w:ascii="Calibri" w:hAnsi="Calibri"/>
                <w:sz w:val="22"/>
              </w:rPr>
              <w:t>CESAN RAUL E</w:t>
            </w:r>
          </w:p>
        </w:tc>
        <w:tc>
          <w:tcPr>
            <w:tcW w:type="dxa" w:w="1440"/>
          </w:tcPr>
          <w:p>
            <w:r>
              <w:rPr>
                <w:rFonts w:ascii="Calibri" w:hAnsi="Calibri"/>
                <w:sz w:val="22"/>
              </w:rPr>
              <w:t>Director</w:t>
            </w:r>
          </w:p>
        </w:tc>
        <w:tc>
          <w:tcPr>
            <w:tcW w:type="dxa" w:w="1440"/>
          </w:tcPr>
          <w:p>
            <w:r>
              <w:rPr>
                <w:rFonts w:ascii="Calibri" w:hAnsi="Calibri"/>
                <w:sz w:val="22"/>
              </w:rPr>
              <w:t>Family Trust Rebalancing (J-code)</w:t>
            </w:r>
          </w:p>
        </w:tc>
        <w:tc>
          <w:tcPr>
            <w:tcW w:type="dxa" w:w="1440"/>
          </w:tcPr>
          <w:p>
            <w:r>
              <w:rPr>
                <w:rFonts w:ascii="Calibri" w:hAnsi="Calibri"/>
                <w:sz w:val="22"/>
              </w:rPr>
              <w:t>22,900 acquired / 18,500 + 4,400 disposed (trusts)</w:t>
            </w:r>
          </w:p>
        </w:tc>
        <w:tc>
          <w:tcPr>
            <w:tcW w:type="dxa" w:w="1440"/>
          </w:tcPr>
          <w:p>
            <w:r>
              <w:rPr>
                <w:rFonts w:ascii="Calibri" w:hAnsi="Calibri"/>
                <w:sz w:val="22"/>
              </w:rPr>
              <w:t>May 11, 2026</w:t>
            </w:r>
          </w:p>
        </w:tc>
        <w:tc>
          <w:tcPr>
            <w:tcW w:type="dxa" w:w="1440"/>
          </w:tcPr>
          <w:p>
            <w:r>
              <w:rPr>
                <w:rFonts w:ascii="Calibri" w:hAnsi="Calibri"/>
                <w:sz w:val="22"/>
              </w:rPr>
              <w:t>Intra-family trust restructuring; not an open-market sale; no discretionary signal</w:t>
            </w:r>
          </w:p>
        </w:tc>
      </w:tr>
      <w:tr>
        <w:tc>
          <w:tcPr>
            <w:tcW w:type="dxa" w:w="1440"/>
          </w:tcPr>
          <w:p>
            <w:r>
              <w:rPr>
                <w:rFonts w:ascii="Calibri" w:hAnsi="Calibri"/>
                <w:sz w:val="22"/>
              </w:rPr>
              <w:t>Kim Thomas Sang</w:t>
            </w:r>
          </w:p>
        </w:tc>
        <w:tc>
          <w:tcPr>
            <w:tcW w:type="dxa" w:w="1440"/>
          </w:tcPr>
          <w:p>
            <w:r>
              <w:rPr>
                <w:rFonts w:ascii="Calibri" w:hAnsi="Calibri"/>
                <w:sz w:val="22"/>
              </w:rPr>
              <w:t>EVP, Chief Legal Officer</w:t>
            </w:r>
          </w:p>
        </w:tc>
        <w:tc>
          <w:tcPr>
            <w:tcW w:type="dxa" w:w="1440"/>
          </w:tcPr>
          <w:p>
            <w:r>
              <w:rPr>
                <w:rFonts w:ascii="Calibri" w:hAnsi="Calibri"/>
                <w:sz w:val="22"/>
              </w:rPr>
              <w:t>RSU Vest + Tax Withholding (F-code)</w:t>
            </w:r>
          </w:p>
        </w:tc>
        <w:tc>
          <w:tcPr>
            <w:tcW w:type="dxa" w:w="1440"/>
          </w:tcPr>
          <w:p>
            <w:r>
              <w:rPr>
                <w:rFonts w:ascii="Calibri" w:hAnsi="Calibri"/>
                <w:sz w:val="22"/>
              </w:rPr>
              <w:t>1,130 vested / 355 withheld</w:t>
            </w:r>
          </w:p>
        </w:tc>
        <w:tc>
          <w:tcPr>
            <w:tcW w:type="dxa" w:w="1440"/>
          </w:tcPr>
          <w:p>
            <w:r>
              <w:rPr>
                <w:rFonts w:ascii="Calibri" w:hAnsi="Calibri"/>
                <w:sz w:val="22"/>
              </w:rPr>
              <w:t>May 4, 2026</w:t>
            </w:r>
          </w:p>
        </w:tc>
        <w:tc>
          <w:tcPr>
            <w:tcW w:type="dxa" w:w="1440"/>
          </w:tcPr>
          <w:p>
            <w:r>
              <w:rPr>
                <w:rFonts w:ascii="Calibri" w:hAnsi="Calibri"/>
                <w:sz w:val="22"/>
              </w:rPr>
              <w:t>Routine RSU vest with mandatory tax withholding; not a discretionary sale</w:t>
            </w:r>
          </w:p>
        </w:tc>
      </w:tr>
    </w:tbl>
    <w:p>
      <w:r>
        <w:rPr>
          <w:rFonts w:ascii="Calibri" w:hAnsi="Calibri"/>
          <w:b/>
          <w:color w:val="525866"/>
          <w:sz w:val="22"/>
        </w:rPr>
        <w:t xml:space="preserve">Summary: </w:t>
      </w:r>
      <w:r>
        <w:rPr>
          <w:rFonts w:ascii="Calibri" w:hAnsi="Calibri"/>
          <w:color w:val="525866"/>
          <w:sz w:val="22"/>
        </w:rPr>
        <w:t xml:space="preserve">There are </w:t>
      </w:r>
      <w:r>
        <w:rPr>
          <w:rFonts w:ascii="Calibri" w:hAnsi="Calibri"/>
          <w:b/>
          <w:color w:val="525866"/>
          <w:sz w:val="22"/>
        </w:rPr>
        <w:t>zero open-market buys or discretionary sells</w:t>
      </w:r>
      <w:r>
        <w:rPr>
          <w:rFonts w:ascii="Calibri" w:hAnsi="Calibri"/>
          <w:color w:val="525866"/>
          <w:sz w:val="22"/>
        </w:rPr>
        <w:t xml:space="preserve"> by any Gartner executive or director in the period since Q1 earnings (May 5, 2026 through August 3, 2026). All transactions are routine equity compensation events: RSU vesting, mandatory tax withholding, director stock unit grants, and one intra-family trust restructuring. The absence of any open-market selling by senior management (CEO, CFO, EVP GTS, EVP GBS) at stock prices ranging from $127 to $180 during this period is a mild positive signal — no insider appears to be taking advantage of the June rally to reduce exposure.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