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J (Jacobs Solutions) before writing the preview. Let me start gathering data.Let me read the most recent earnings materials and get recent price/news context.Let me get recent stock price performance and check the year-ago Q3 for comparables.Let me pull the year-ago Q3 figures for YoY framing and check recent analyst/news activity.# Jacobs Solutions (NYSE: J) — Fiscal Q3 2026 Earnings Preview</w:t>
      </w:r>
    </w:p>
    <w:bookmarkStart w:id="9" w:name="X9bba4c7d6a61e95196ee5d53f0cd3c277fa87b5"/>
    <w:p>
      <w:pPr>
        <w:pStyle w:val="Heading3"/>
      </w:pPr>
      <w:r>
        <w:t xml:space="preserve">Report expected Tuesday, August 4, 2026 (fiscal quarter ended ~June 26, 2026)</w:t>
      </w:r>
    </w:p>
    <w:bookmarkEnd w:id="9"/>
    <w:bookmarkStart w:id="10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Jacobs heads into its fiscal Q3 print with genuine business momentum — a record backlog, an accelerating AI/data-center growth engine, and management having raised full-year guidance in each of the last two quarters — but with a stock that has repeatedly</w:t>
      </w:r>
      <w:r>
        <w:t xml:space="preserve"> </w:t>
      </w:r>
      <w:r>
        <w:rPr>
          <w:i/>
          <w:iCs/>
        </w:rPr>
        <w:t xml:space="preserve">sold off on good news</w:t>
      </w:r>
      <w:r>
        <w:t xml:space="preserve">. The key question is whether an in-line-to-strong quarter is enough given elevated expectations and a couple of modeling wrinkles (taxes, GAAP optics) that could muddy the headline.</w:t>
      </w:r>
    </w:p>
    <w:p>
      <w:r>
        <w:pict>
          <v:rect style="width:0;height:1.5pt" o:hralign="center" o:hrstd="t" o:hr="t"/>
        </w:pict>
      </w:r>
    </w:p>
    <w:bookmarkEnd w:id="10"/>
    <w:bookmarkStart w:id="11" w:name="what-management-has-guided-for-q3"/>
    <w:p>
      <w:pPr>
        <w:pStyle w:val="Heading2"/>
      </w:pPr>
      <w:r>
        <w:t xml:space="preserve">What Management Has Guided For Q3</w:t>
      </w:r>
    </w:p>
    <w:p>
      <w:pPr>
        <w:pStyle w:val="FirstParagraph"/>
      </w:pPr>
      <w:r>
        <w:t xml:space="preserve">On the May call, CFO Venk Nathamuni gave unusually specific Q3 framing: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net revenue growth of ~7.5% y/y</w:t>
      </w:r>
      <w:r>
        <w:t xml:space="preserve"> </w:t>
      </w:r>
      <w:r>
        <w:t xml:space="preserve">(a step down from Q2's +9%, and implying roughly ~$2.4B vs. $2.23B a year ago).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EBITDA margin of ~15%</w:t>
      </w:r>
      <w:r>
        <w:t xml:space="preserve">, which would be ~90 bps of sequential improvement from Q2's 14.1% and ~90 bps above the year-ago 14.1%.</w:t>
      </w:r>
    </w:p>
    <w:p>
      <w:pPr>
        <w:pStyle w:val="Compact"/>
        <w:numPr>
          <w:ilvl w:val="0"/>
          <w:numId w:val="1001"/>
        </w:numPr>
      </w:pPr>
      <w:r>
        <w:t xml:space="preserve">This sets up an implied</w:t>
      </w:r>
      <w:r>
        <w:t xml:space="preserve"> </w:t>
      </w:r>
      <w:r>
        <w:rPr>
          <w:b/>
          <w:bCs/>
        </w:rPr>
        <w:t xml:space="preserve">Q4 margin above 16%</w:t>
      </w:r>
      <w:r>
        <w:t xml:space="preserve"> </w:t>
      </w:r>
      <w:r>
        <w:t xml:space="preserve">on double-digit top-line growth, aided by an</w:t>
      </w:r>
      <w:r>
        <w:t xml:space="preserve"> </w:t>
      </w:r>
      <w:r>
        <w:rPr>
          <w:b/>
          <w:bCs/>
        </w:rPr>
        <w:t xml:space="preserve">extra (14th) week</w:t>
      </w:r>
      <w:r>
        <w:t xml:space="preserve"> </w:t>
      </w:r>
      <w:r>
        <w:t xml:space="preserve">in the fiscal fourth quarter.</w:t>
      </w:r>
    </w:p>
    <w:p>
      <w:pPr>
        <w:pStyle w:val="FirstParagraph"/>
      </w:pPr>
      <w:r>
        <w:rPr>
          <w:b/>
          <w:bCs/>
        </w:rPr>
        <w:t xml:space="preserve">Watch the tax rate.</w:t>
      </w:r>
      <w:r>
        <w:t xml:space="preserve"> </w:t>
      </w:r>
      <w:r>
        <w:t xml:space="preserve">Management guided the</w:t>
      </w:r>
      <w:r>
        <w:t xml:space="preserve"> </w:t>
      </w:r>
      <w:r>
        <w:rPr>
          <w:b/>
          <w:bCs/>
        </w:rPr>
        <w:t xml:space="preserve">adjusted effective tax rate to 27–28% in both Q3 and Q4</w:t>
      </w:r>
      <w:r>
        <w:t xml:space="preserve">, versus just 24.3% in Q2. That is a real EPS headwind — margin expansion and buybacks will be partly offset by a higher tax drag, so don't expect the same 20%+ adjusted EPS growth cadence to flow straight through.</w:t>
      </w:r>
    </w:p>
    <w:p>
      <w:pPr>
        <w:pStyle w:val="BodyText"/>
      </w:pPr>
      <w:r>
        <w:rPr>
          <w:b/>
          <w:bCs/>
        </w:rPr>
        <w:t xml:space="preserve">Full-year (FY26) guidance to check against:</w:t>
      </w:r>
    </w:p>
    <w:p>
      <w:pPr>
        <w:pStyle w:val="Compact"/>
        <w:numPr>
          <w:ilvl w:val="0"/>
          <w:numId w:val="1002"/>
        </w:numPr>
      </w:pPr>
      <w:r>
        <w:t xml:space="preserve">Adjusted net revenue growth</w:t>
      </w:r>
      <w:r>
        <w:t xml:space="preserve"> </w:t>
      </w:r>
      <w:r>
        <w:rPr>
          <w:b/>
          <w:bCs/>
        </w:rPr>
        <w:t xml:space="preserve">8.0%–10.5%</w:t>
      </w:r>
    </w:p>
    <w:p>
      <w:pPr>
        <w:pStyle w:val="Compact"/>
        <w:numPr>
          <w:ilvl w:val="0"/>
          <w:numId w:val="1002"/>
        </w:numPr>
      </w:pPr>
      <w:r>
        <w:t xml:space="preserve">Adjusted EBITDA margin</w:t>
      </w:r>
      <w:r>
        <w:t xml:space="preserve"> </w:t>
      </w:r>
      <w:r>
        <w:rPr>
          <w:b/>
          <w:bCs/>
        </w:rPr>
        <w:t xml:space="preserve">14.6%–14.9%</w:t>
      </w:r>
    </w:p>
    <w:p>
      <w:pPr>
        <w:pStyle w:val="Compact"/>
        <w:numPr>
          <w:ilvl w:val="0"/>
          <w:numId w:val="1002"/>
        </w:numPr>
      </w:pPr>
      <w:r>
        <w:t xml:space="preserve">Adjusted EPS</w:t>
      </w:r>
      <w:r>
        <w:t xml:space="preserve"> </w:t>
      </w:r>
      <m:oMath>
        <m:r>
          <m:t>7.10</m:t>
        </m:r>
        <m:r>
          <m:rPr>
            <m:sty m:val="p"/>
          </m:rPr>
          <m:t>–</m:t>
        </m:r>
      </m:oMath>
      <w:r>
        <w:rPr>
          <w:b/>
          <w:bCs/>
        </w:rPr>
        <w:t xml:space="preserve">7.35</w:t>
      </w:r>
      <w:r>
        <w:t xml:space="preserve"> </w:t>
      </w:r>
      <w:r>
        <w:t xml:space="preserve">(≈18% y/y growth at the midpoint)</w:t>
      </w:r>
    </w:p>
    <w:p>
      <w:pPr>
        <w:pStyle w:val="Compact"/>
        <w:numPr>
          <w:ilvl w:val="0"/>
          <w:numId w:val="1002"/>
        </w:numPr>
      </w:pPr>
      <w:r>
        <w:t xml:space="preserve">Adjusted FCF margin</w:t>
      </w:r>
      <w:r>
        <w:t xml:space="preserve"> </w:t>
      </w:r>
      <w:r>
        <w:rPr>
          <w:b/>
          <w:bCs/>
        </w:rPr>
        <w:t xml:space="preserve">7.0%–8.5%</w:t>
      </w:r>
    </w:p>
    <w:p>
      <w:pPr>
        <w:pStyle w:val="FirstParagraph"/>
      </w:pPr>
      <w:r>
        <w:t xml:space="preserve">With first-half adjusted EPS of</w:t>
      </w:r>
      <w:r>
        <w:t xml:space="preserve"> </w:t>
      </w:r>
      <m:oMath>
        <m:r>
          <m:t>3.28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rPr>
          <w:b/>
          <w:bCs/>
        </w:rPr>
        <w:t xml:space="preserve">1.53 in Q1 +</w:t>
      </w:r>
      <w:r>
        <w:rPr>
          <w:b/>
          <w:bCs/>
        </w:rPr>
        <w:t xml:space="preserve"> </w:t>
      </w:r>
      <m:oMath>
        <m:r>
          <m:t>1.75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)</m:t>
        </m:r>
        <m:r>
          <m:t>a</m:t>
        </m:r>
        <m:r>
          <m:t>l</m:t>
        </m:r>
        <m:r>
          <m:t>r</m:t>
        </m:r>
        <m:r>
          <m:t>e</m:t>
        </m:r>
        <m:r>
          <m:t>a</m:t>
        </m:r>
        <m:r>
          <m:t>d</m:t>
        </m:r>
        <m:r>
          <m:t>y</m:t>
        </m:r>
        <m:r>
          <m:t>b</m:t>
        </m:r>
        <m:r>
          <m:t>o</m:t>
        </m:r>
        <m:r>
          <m:t>o</m:t>
        </m:r>
        <m:r>
          <m:t>k</m:t>
        </m:r>
        <m:r>
          <m:t>e</m:t>
        </m:r>
        <m:r>
          <m:t>d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b</m:t>
        </m:r>
        <m:r>
          <m:t>a</m:t>
        </m:r>
        <m:r>
          <m:t>c</m:t>
        </m:r>
        <m:r>
          <m:t>k</m:t>
        </m:r>
        <m:r>
          <m:t>h</m:t>
        </m:r>
        <m:r>
          <m:t>a</m:t>
        </m:r>
        <m:r>
          <m:t>l</m:t>
        </m:r>
        <m:r>
          <m:t>f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t</m:t>
        </m:r>
        <m:r>
          <m:t>o</m:t>
        </m:r>
        <m:r>
          <m:t>d</m:t>
        </m:r>
        <m:r>
          <m:t>e</m:t>
        </m:r>
        <m:r>
          <m:t>l</m:t>
        </m:r>
        <m:r>
          <m:t>i</m:t>
        </m:r>
        <m:r>
          <m:t>v</m:t>
        </m:r>
        <m:r>
          <m:t>e</m:t>
        </m:r>
        <m:r>
          <m:t>r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3.82–$4.07</w:t>
      </w:r>
      <w:r>
        <w:t xml:space="preserve">. A third straight guidance raise is plausible given the two-quarter track record — but after two raises, the bar for a positive reaction is higher. Watch whether they narrow to the upper half vs. raise outright.</w:t>
      </w:r>
    </w:p>
    <w:p>
      <w:r>
        <w:pict>
          <v:rect style="width:0;height:1.5pt" o:hralign="center" o:hrstd="t" o:hr="t"/>
        </w:pict>
      </w:r>
    </w:p>
    <w:bookmarkEnd w:id="11"/>
    <w:bookmarkStart w:id="12" w:name="Xd1b2441c9ae45497fed1ecf59f3d92ffdedd7c1"/>
    <w:p>
      <w:pPr>
        <w:pStyle w:val="Heading2"/>
      </w:pPr>
      <w:r>
        <w:t xml:space="preserve">The AI / Data-Center Thesis Is Now the Main Story</w:t>
      </w:r>
    </w:p>
    <w:p>
      <w:pPr>
        <w:pStyle w:val="FirstParagraph"/>
      </w:pPr>
      <w:r>
        <w:t xml:space="preserve">This is where the incremental buy-side debate sits. On the last call, management quantified it clearly: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data-center business is ~3–4% of revenue and grew &gt;100% y/y</w:t>
      </w:r>
      <w:r>
        <w:t xml:space="preserve"> </w:t>
      </w:r>
      <w:r>
        <w:t xml:space="preserve">in Q2.</w:t>
      </w:r>
    </w:p>
    <w:p>
      <w:pPr>
        <w:pStyle w:val="Compact"/>
        <w:numPr>
          <w:ilvl w:val="0"/>
          <w:numId w:val="1003"/>
        </w:numPr>
      </w:pPr>
      <w:r>
        <w:t xml:space="preserve">The broader</w:t>
      </w:r>
      <w:r>
        <w:t xml:space="preserve"> </w:t>
      </w:r>
      <w:r>
        <w:rPr>
          <w:b/>
          <w:bCs/>
        </w:rPr>
        <w:t xml:space="preserve">AI ecosystem (chips → power/energy → data centers) is ~10–11% of the business and growing 40%+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data-center pipeline is up ~400% y/y</w:t>
      </w:r>
      <w:r>
        <w:t xml:space="preserve">, with visibility "well through '27 into '28," anchored by the</w:t>
      </w:r>
      <w:r>
        <w:t xml:space="preserve"> </w:t>
      </w:r>
      <w:r>
        <w:rPr>
          <w:b/>
          <w:bCs/>
        </w:rPr>
        <w:t xml:space="preserve">NVIDIA partnership</w:t>
      </w:r>
      <w:r>
        <w:t xml:space="preserve"> </w:t>
      </w:r>
      <w:r>
        <w:t xml:space="preserve">(digital twins via the Omniverse DSX Blueprint, plan-of-record work extending to next-gen Vera Rubin).</w:t>
      </w:r>
    </w:p>
    <w:p>
      <w:pPr>
        <w:pStyle w:val="FirstParagraph"/>
      </w:pPr>
      <w:r>
        <w:t xml:space="preserve">For Q3, investors will want confirmation that this triple-digit data-center growth and the semiconductor/power/water pull-through are</w:t>
      </w:r>
      <w:r>
        <w:t xml:space="preserve"> </w:t>
      </w:r>
      <w:r>
        <w:rPr>
          <w:b/>
          <w:bCs/>
        </w:rPr>
        <w:t xml:space="preserve">sustaining, not decelerating</w:t>
      </w:r>
      <w:r>
        <w:t xml:space="preserve">. Any hard numbers on data-center bookings, hyperscaler + "neocloud" wins, and semiconductor reshoring (management sees a return toward prior-peak CapEx into FY27) will move the stock more than the headline EPS.</w:t>
      </w:r>
    </w:p>
    <w:p>
      <w:r>
        <w:pict>
          <v:rect style="width:0;height:1.5pt" o:hralign="center" o:hrstd="t" o:hr="t"/>
        </w:pict>
      </w:r>
    </w:p>
    <w:bookmarkEnd w:id="12"/>
    <w:bookmarkStart w:id="13" w:name="backlog--bookings--the-leading-indicator"/>
    <w:p>
      <w:pPr>
        <w:pStyle w:val="Heading2"/>
      </w:pPr>
      <w:r>
        <w:t xml:space="preserve">Backlog &amp; Bookings — The Leading Indicator</w:t>
      </w:r>
    </w:p>
    <w:p>
      <w:pPr>
        <w:pStyle w:val="FirstParagraph"/>
      </w:pPr>
      <w:r>
        <w:t xml:space="preserve">Backlog is the cleanest read on durability. Q2 set a</w:t>
      </w:r>
      <w:r>
        <w:t xml:space="preserve"> </w:t>
      </w:r>
      <w:r>
        <w:rPr>
          <w:b/>
          <w:bCs/>
        </w:rPr>
        <w:t xml:space="preserve">record $27.0B (+22% y/y)</w:t>
      </w:r>
      <w:r>
        <w:t xml:space="preserve"> </w:t>
      </w:r>
      <w:r>
        <w:t xml:space="preserve">with a</w:t>
      </w:r>
      <w:r>
        <w:t xml:space="preserve"> </w:t>
      </w:r>
      <w:r>
        <w:rPr>
          <w:b/>
          <w:bCs/>
        </w:rPr>
        <w:t xml:space="preserve">1.2x quarterly book-to-bill (1.4x TTM gross, 1.2x net)</w:t>
      </w:r>
      <w:r>
        <w:t xml:space="preserve">. Year-ago Q3 backlog was $22.69B at a 1.2x book-to-bill. Keep an eye on:</w:t>
      </w:r>
    </w:p>
    <w:p>
      <w:pPr>
        <w:pStyle w:val="Compact"/>
        <w:numPr>
          <w:ilvl w:val="0"/>
          <w:numId w:val="1004"/>
        </w:numPr>
      </w:pPr>
      <w:r>
        <w:t xml:space="preserve">Whether</w:t>
      </w:r>
      <w:r>
        <w:t xml:space="preserve"> </w:t>
      </w:r>
      <w:r>
        <w:rPr>
          <w:b/>
          <w:bCs/>
        </w:rPr>
        <w:t xml:space="preserve">book-to-bill holds above 1.0x</w:t>
      </w:r>
      <w:r>
        <w:t xml:space="preserve"> </w:t>
      </w:r>
      <w:r>
        <w:t xml:space="preserve">and backlog sets another record.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Gross profit / net revenue in backlog</w:t>
      </w:r>
      <w:r>
        <w:t xml:space="preserve"> </w:t>
      </w:r>
      <w:r>
        <w:t xml:space="preserve">(up 15%/12% y/y in Q2) — a proxy for future margin and organic growth quality.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Life sciences</w:t>
      </w:r>
      <w:r>
        <w:t xml:space="preserve"> </w:t>
      </w:r>
      <w:r>
        <w:t xml:space="preserve">(pipeline was up 81%) and</w:t>
      </w:r>
      <w:r>
        <w:t xml:space="preserve"> </w:t>
      </w:r>
      <w:r>
        <w:rPr>
          <w:b/>
          <w:bCs/>
        </w:rPr>
        <w:t xml:space="preserve">environmental</w:t>
      </w:r>
      <w:r>
        <w:t xml:space="preserve">, the one soft spot management said should show "meaningful improvement" by Q4.</w:t>
      </w:r>
    </w:p>
    <w:p>
      <w:r>
        <w:pict>
          <v:rect style="width:0;height:1.5pt" o:hralign="center" o:hrstd="t" o:hr="t"/>
        </w:pict>
      </w:r>
    </w:p>
    <w:bookmarkEnd w:id="13"/>
    <w:bookmarkStart w:id="14" w:name="segments--margin-bridge"/>
    <w:p>
      <w:pPr>
        <w:pStyle w:val="Heading2"/>
      </w:pPr>
      <w:r>
        <w:t xml:space="preserve">Segments &amp; Margin Bridge</w:t>
      </w:r>
    </w:p>
    <w:p>
      <w:pPr>
        <w:pStyle w:val="FirstParagraph"/>
      </w:pPr>
      <w:r>
        <w:t xml:space="preserve">Two reporting segments:</w:t>
      </w:r>
      <w:r>
        <w:t xml:space="preserve"> </w:t>
      </w:r>
      <w:r>
        <w:rPr>
          <w:b/>
          <w:bCs/>
        </w:rPr>
        <w:t xml:space="preserve">Infrastructure &amp; Advanced Facilities (I&amp;AF)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PA Consulting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PA Consulting</w:t>
      </w:r>
      <w:r>
        <w:t xml:space="preserve"> </w:t>
      </w:r>
      <w:r>
        <w:t xml:space="preserve">is now</w:t>
      </w:r>
      <w:r>
        <w:t xml:space="preserve"> </w:t>
      </w:r>
      <w:r>
        <w:rPr>
          <w:b/>
          <w:bCs/>
        </w:rPr>
        <w:t xml:space="preserve">100%-owned</w:t>
      </w:r>
      <w:r>
        <w:t xml:space="preserve"> </w:t>
      </w:r>
      <w:r>
        <w:t xml:space="preserve">(transaction closed March 20, 2026) and has posted four straight quarters of double-digit revenue growth (+17% in Q2), at a ~22% operating margin — accretive to mix. Watch for early</w:t>
      </w:r>
      <w:r>
        <w:t xml:space="preserve"> </w:t>
      </w:r>
      <w:r>
        <w:rPr>
          <w:b/>
          <w:bCs/>
        </w:rPr>
        <w:t xml:space="preserve">revenue synergies</w:t>
      </w:r>
      <w:r>
        <w:t xml:space="preserve"> </w:t>
      </w:r>
      <w:r>
        <w:t xml:space="preserve">(conflict-of-interest restrictions on joint pipeline are now removed) and</w:t>
      </w:r>
      <w:r>
        <w:t xml:space="preserve"> </w:t>
      </w:r>
      <w:r>
        <w:rPr>
          <w:b/>
          <w:bCs/>
        </w:rPr>
        <w:t xml:space="preserve">cost synergies</w:t>
      </w:r>
      <w:r>
        <w:t xml:space="preserve">, guided to</w:t>
      </w:r>
      <w:r>
        <w:t xml:space="preserve"> </w:t>
      </w:r>
      <w:r>
        <w:rPr>
          <w:b/>
          <w:bCs/>
        </w:rPr>
        <w:t xml:space="preserve">$20M+ within 24 months</w:t>
      </w:r>
      <w:r>
        <w:t xml:space="preserve"> </w:t>
      </w:r>
      <w:r>
        <w:t xml:space="preserve">(real estate, procurement, IT).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Margin trajectory</w:t>
      </w:r>
      <w:r>
        <w:t xml:space="preserve"> </w:t>
      </w:r>
      <w:r>
        <w:t xml:space="preserve">is the long-term equity story: management raised the</w:t>
      </w:r>
      <w:r>
        <w:t xml:space="preserve"> </w:t>
      </w:r>
      <w:r>
        <w:rPr>
          <w:b/>
          <w:bCs/>
        </w:rPr>
        <w:t xml:space="preserve">FY29 adjusted EBITDA margin target to 17%+</w:t>
      </w:r>
      <w:r>
        <w:t xml:space="preserve"> </w:t>
      </w:r>
      <w:r>
        <w:t xml:space="preserve">(from 16%+) and the</w:t>
      </w:r>
      <w:r>
        <w:t xml:space="preserve"> </w:t>
      </w:r>
      <w:r>
        <w:rPr>
          <w:b/>
          <w:bCs/>
        </w:rPr>
        <w:t xml:space="preserve">FCF margin target to 11%+</w:t>
      </w:r>
      <w:r>
        <w:t xml:space="preserve">, implying $1.2–1.3B of annual FCF by FY29. Any commentary reinforcing the ~75 bps/year of identified improvement supports the multiple.</w:t>
      </w:r>
    </w:p>
    <w:p>
      <w:r>
        <w:pict>
          <v:rect style="width:0;height:1.5pt" o:hralign="center" o:hrstd="t" o:hr="t"/>
        </w:pict>
      </w:r>
    </w:p>
    <w:bookmarkEnd w:id="14"/>
    <w:bookmarkStart w:id="15" w:name="cash-leverage--capital-return"/>
    <w:p>
      <w:pPr>
        <w:pStyle w:val="Heading2"/>
      </w:pPr>
      <w:r>
        <w:t xml:space="preserve">Cash, Leverage &amp; Capital Return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Net leverage was 2.1x</w:t>
      </w:r>
      <w:r>
        <w:t xml:space="preserve"> </w:t>
      </w:r>
      <w:r>
        <w:t xml:space="preserve">post-PA, ~0.5 turn above target; management committed to</w:t>
      </w:r>
      <w:r>
        <w:t xml:space="preserve"> </w:t>
      </w:r>
      <w:r>
        <w:rPr>
          <w:b/>
          <w:bCs/>
        </w:rPr>
        <w:t xml:space="preserve">&lt;2.0x by fiscal year-end</w:t>
      </w:r>
      <w:r>
        <w:t xml:space="preserve"> </w:t>
      </w:r>
      <w:r>
        <w:t xml:space="preserve">and ~1.5x in FY27, aided by a seasonally strong H2 (they guided</w:t>
      </w:r>
      <w:r>
        <w:t xml:space="preserve"> </w:t>
      </w:r>
      <w:r>
        <w:rPr>
          <w:b/>
          <w:bCs/>
        </w:rPr>
        <w:t xml:space="preserve">$600–700M of H2 free cash flow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Buybacks: $472M YTD</w:t>
      </w:r>
      <w:r>
        <w:t xml:space="preserve">, ahead of the ≥60%-of-FCF return target; dividend was</w:t>
      </w:r>
      <w:r>
        <w:t xml:space="preserve"> </w:t>
      </w:r>
      <w:r>
        <w:rPr>
          <w:b/>
          <w:bCs/>
        </w:rPr>
        <w:t xml:space="preserve">raised 12.5%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GAAP-vs-adjusted optics:</w:t>
      </w:r>
      <w:r>
        <w:t xml:space="preserve"> </w:t>
      </w:r>
      <w:r>
        <w:t xml:space="preserve">Q2 had a huge spread (GAAP EPS of</w:t>
      </w:r>
      <w:r>
        <w:t xml:space="preserve"> </w:t>
      </w:r>
      <w:r>
        <w:rPr>
          <w:b/>
          <w:bCs/>
        </w:rPr>
        <w:t xml:space="preserve">-</w:t>
      </w:r>
      <m:oMath>
        <m:r>
          <m:t>0.32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v</m:t>
        </m:r>
        <m:r>
          <m:t>s</m:t>
        </m:r>
        <m:r>
          <m:rPr>
            <m:sty m:val="p"/>
          </m:rPr>
          <m:t>.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1.75</w:t>
      </w:r>
      <w:r>
        <w:t xml:space="preserve">) due to ~</w:t>
      </w:r>
      <w:r>
        <w:t xml:space="preserve">$235M of PA-related compensation acceleration. Management said this was "mostly a Q2 phenomenon" and that **Q3 should show a more normal GAAP/adjusted differential** — though ~$</w:t>
      </w:r>
      <w:r>
        <w:t xml:space="preserve">105M of employee-benefit-trust payments still hit</w:t>
      </w:r>
      <w:r>
        <w:t xml:space="preserve"> </w:t>
      </w:r>
      <w:r>
        <w:rPr>
          <w:i/>
          <w:iCs/>
        </w:rPr>
        <w:t xml:space="preserve">reported</w:t>
      </w:r>
      <w:r>
        <w:t xml:space="preserve"> </w:t>
      </w:r>
      <w:r>
        <w:t xml:space="preserve">(not adjusted) Q3 free cash flow. Expect a cleaner GAAP number this quarter; a still-messy one would be a mild disappointment.</w:t>
      </w:r>
    </w:p>
    <w:p>
      <w:r>
        <w:pict>
          <v:rect style="width:0;height:1.5pt" o:hralign="center" o:hrstd="t" o:hr="t"/>
        </w:pict>
      </w:r>
    </w:p>
    <w:bookmarkEnd w:id="15"/>
    <w:bookmarkStart w:id="16" w:name="X34836a2d3207ff240d9ac924a15144e7db2d1b2"/>
    <w:p>
      <w:pPr>
        <w:pStyle w:val="Heading2"/>
      </w:pPr>
      <w:r>
        <w:t xml:space="preserve">The Sentiment Wrinkle: Good Prints Haven't Been Rewarded</w:t>
      </w:r>
    </w:p>
    <w:p>
      <w:pPr>
        <w:pStyle w:val="FirstParagraph"/>
      </w:pPr>
      <w:r>
        <w:t xml:space="preserve">Despite the fundamental momentum, the stock has struggled to hold gains on earnings:</w:t>
      </w:r>
    </w:p>
    <w:p>
      <w:pPr>
        <w:pStyle w:val="Compact"/>
        <w:numPr>
          <w:ilvl w:val="0"/>
          <w:numId w:val="1007"/>
        </w:numPr>
      </w:pPr>
      <w:r>
        <w:t xml:space="preserve">After the</w:t>
      </w:r>
      <w:r>
        <w:t xml:space="preserve"> </w:t>
      </w:r>
      <w:r>
        <w:rPr>
          <w:b/>
          <w:bCs/>
        </w:rPr>
        <w:t xml:space="preserve">Q4 FY25 report (Nov 20, 2025)</w:t>
      </w:r>
      <w:r>
        <w:t xml:space="preserve">, shares fell ~11% (≈$145 → $129).</w:t>
      </w:r>
    </w:p>
    <w:p>
      <w:pPr>
        <w:pStyle w:val="Compact"/>
        <w:numPr>
          <w:ilvl w:val="0"/>
          <w:numId w:val="1007"/>
        </w:numPr>
      </w:pPr>
      <w:r>
        <w:t xml:space="preserve">After the</w:t>
      </w:r>
      <w:r>
        <w:t xml:space="preserve"> </w:t>
      </w:r>
      <w:r>
        <w:rPr>
          <w:b/>
          <w:bCs/>
        </w:rPr>
        <w:t xml:space="preserve">Q2 FY26 report (May 5, 2026)</w:t>
      </w:r>
      <w:r>
        <w:t xml:space="preserve"> </w:t>
      </w:r>
      <w:r>
        <w:t xml:space="preserve">— which</w:t>
      </w:r>
      <w:r>
        <w:t xml:space="preserve"> </w:t>
      </w:r>
      <w:r>
        <w:rPr>
          <w:i/>
          <w:iCs/>
        </w:rPr>
        <w:t xml:space="preserve">included</w:t>
      </w:r>
      <w:r>
        <w:t xml:space="preserve"> </w:t>
      </w:r>
      <w:r>
        <w:t xml:space="preserve">a guidance raise — the stock dropped from ~</w:t>
      </w:r>
      <m:oMath>
        <m:r>
          <m:t>137</m:t>
        </m:r>
        <m:r>
          <m:t>t</m:t>
        </m:r>
        <m:r>
          <m:t>o</m:t>
        </m:r>
        <m:r>
          <m:t> </m:t>
        </m:r>
      </m:oMath>
      <w:r>
        <w:t xml:space="preserve">107 within a week.</w:t>
      </w:r>
    </w:p>
    <w:p>
      <w:pPr>
        <w:pStyle w:val="Compact"/>
        <w:numPr>
          <w:ilvl w:val="0"/>
          <w:numId w:val="1007"/>
        </w:numPr>
      </w:pPr>
      <w:r>
        <w:t xml:space="preserve">Shares have since recovered to</w:t>
      </w:r>
      <w:r>
        <w:t xml:space="preserve"> </w:t>
      </w:r>
      <w:r>
        <w:rPr>
          <w:b/>
          <w:bCs/>
        </w:rPr>
        <w:t xml:space="preserve">~</w:t>
      </w:r>
      <m:oMath>
        <m:r>
          <m:t>139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A</m:t>
        </m:r>
        <m:r>
          <m:t>u</m:t>
        </m:r>
        <m:r>
          <m:t>g</m:t>
        </m:r>
        <m:r>
          <m:t>3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l</m:t>
        </m:r>
        <m:r>
          <m:t>a</m:t>
        </m:r>
        <m:r>
          <m:t>t</m:t>
        </m:r>
        <m:r>
          <m:rPr>
            <m:sty m:val="p"/>
          </m:rPr>
          <m:t>−</m:t>
        </m:r>
        <m:r>
          <m:t>t</m:t>
        </m:r>
        <m:r>
          <m:t>o</m:t>
        </m:r>
        <m:r>
          <m:rPr>
            <m:sty m:val="p"/>
          </m:rPr>
          <m:t>−</m:t>
        </m:r>
        <m:r>
          <m:t>d</m:t>
        </m:r>
        <m:r>
          <m:t>o</m:t>
        </m:r>
        <m:r>
          <m:t>w</m:t>
        </m:r>
        <m:r>
          <m:t>n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rPr>
          <w:b/>
          <w:bCs/>
        </w:rPr>
        <w:t xml:space="preserve">145 a year ago</w:t>
      </w:r>
      <w:r>
        <w:t xml:space="preserve">, meaning the multiple has de-rated even as estimates rose.</w:t>
      </w:r>
    </w:p>
    <w:p>
      <w:pPr>
        <w:pStyle w:val="FirstParagraph"/>
      </w:pPr>
      <w:r>
        <w:t xml:space="preserve">The takeaway: the market appears to be holding J to a high bar, and "beat-and-raise" may already be the base case. Positioning and the recent run-up into the print (up from ~$118 in late May) raise the risk that anything short of a clean beat + raise + reassuring AI commentary gets sold.</w:t>
      </w:r>
    </w:p>
    <w:p>
      <w:r>
        <w:pict>
          <v:rect style="width:0;height:1.5pt" o:hralign="center" o:hrstd="t" o:hr="t"/>
        </w:pict>
      </w:r>
    </w:p>
    <w:bookmarkEnd w:id="16"/>
    <w:bookmarkStart w:id="17" w:name="what-ill-be-watching-most-in-order"/>
    <w:p>
      <w:pPr>
        <w:pStyle w:val="Heading2"/>
      </w:pPr>
      <w:r>
        <w:t xml:space="preserve">What I'll Be Watching Most (in order)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AI/data-center bookings &amp; growth rate</w:t>
      </w:r>
      <w:r>
        <w:t xml:space="preserve"> </w:t>
      </w:r>
      <w:r>
        <w:t xml:space="preserve">— is &gt;100% data-center growth and the 400% pipeline holding?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Guidance action</w:t>
      </w:r>
      <w:r>
        <w:t xml:space="preserve"> </w:t>
      </w:r>
      <w:r>
        <w:t xml:space="preserve">— a third raise vs. a narrow-up, and where FY26 adjusted EPS lands vs. the</w:t>
      </w:r>
      <w:r>
        <w:t xml:space="preserve"> </w:t>
      </w:r>
      <m:oMath>
        <m:r>
          <m:t>7.10</m:t>
        </m:r>
        <m:r>
          <m:rPr>
            <m:sty m:val="p"/>
          </m:rPr>
          <m:t>–</m:t>
        </m:r>
      </m:oMath>
      <w:r>
        <w:t xml:space="preserve">7.35 range.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Backlog &amp; book-to-bill</w:t>
      </w:r>
      <w:r>
        <w:t xml:space="preserve"> </w:t>
      </w:r>
      <w:r>
        <w:t xml:space="preserve">— a new record and &gt;1.0x would confirm the runway into FY27.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Organic net revenue growth</w:t>
      </w:r>
      <w:r>
        <w:t xml:space="preserve"> </w:t>
      </w:r>
      <w:r>
        <w:t xml:space="preserve">— the ~7.5% guide is a deceleration; the tone on Q4's implied double-digit reacceleration matters.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Tax rate reality</w:t>
      </w:r>
      <w:r>
        <w:t xml:space="preserve"> </w:t>
      </w:r>
      <w:r>
        <w:t xml:space="preserve">— confirmation of the 27–28% adjusted rate and its EPS impact.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PA synergies, environmental recovery, and IIJA reauthorization</w:t>
      </w:r>
      <w:r>
        <w:t xml:space="preserve"> </w:t>
      </w:r>
      <w:r>
        <w:t xml:space="preserve">commentary as secondary swing factors.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Note on data: figures above are drawn from Jacobs' fiscal Q2 2026 and Q3 2025 earnings releases and the Q2 2026 conference call. No fresh company-specific news or pre-announcements were available in the days immediately ahead of this report. Consensus estimates were not available in the sources reviewed, so peg results against management's own guidance framework above.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2026-08-04T01:30:33Z</dcterms:created>
  <dcterms:modified xsi:type="dcterms:W3CDTF">2026-08-04T01:30:33Z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