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 have enough information now to write a comprehensive earnings preview. Let me pull together the key data points.# Jacobs Solutions Inc. (NYSE: J) — Q3 FY2026 Earnings Preview</w:t>
      </w:r>
    </w:p>
    <w:p>
      <w:pPr>
        <w:pStyle w:val="BodyText"/>
      </w:pPr>
      <w:r>
        <w:rPr>
          <w:b/>
          <w:bCs/>
        </w:rPr>
        <w:t xml:space="preserve">Report date:</w:t>
      </w:r>
      <w:r>
        <w:t xml:space="preserve"> </w:t>
      </w:r>
      <w:r>
        <w:t xml:space="preserve">Tuesday, August 4, 2026, after market close; conference call at 4:30 PM ET</w:t>
      </w:r>
      <w:r>
        <w:t xml:space="preserve"> </w:t>
      </w:r>
      <w:r>
        <w:rPr>
          <w:b/>
          <w:bCs/>
        </w:rPr>
        <w:t xml:space="preserve">Fiscal period:</w:t>
      </w:r>
      <w:r>
        <w:t xml:space="preserve"> </w:t>
      </w:r>
      <w:r>
        <w:t xml:space="preserve">Third quarter of fiscal 2026 (quarter ended on/around June 26, 2026)</w:t>
      </w:r>
      <w:r>
        <w:t xml:space="preserve"> </w:t>
      </w:r>
      <w:r>
        <w:rPr>
          <w:b/>
          <w:bCs/>
        </w:rPr>
        <w:t xml:space="preserve">Stock context:</w:t>
      </w:r>
      <w:r>
        <w:t xml:space="preserve"> </w:t>
      </w:r>
      <w:r>
        <w:t xml:space="preserve">Shares closed at **</w:t>
      </w:r>
      <m:oMath>
        <m:r>
          <m:t>138.75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o</m:t>
        </m:r>
        <m:r>
          <m:t>n</m:t>
        </m:r>
        <m:r>
          <m:t>A</m:t>
        </m:r>
        <m:r>
          <m:t>u</m:t>
        </m:r>
        <m:r>
          <m:t>g</m:t>
        </m:r>
        <m:r>
          <m:t>u</m:t>
        </m:r>
        <m:r>
          <m:t>s</m:t>
        </m:r>
        <m:r>
          <m:t>t</m:t>
        </m:r>
        <m:r>
          <m:t>3</m:t>
        </m:r>
        <m:r>
          <m:rPr>
            <m:sty m:val="p"/>
          </m:rPr>
          <m:t>,</m:t>
        </m:r>
        <m:r>
          <m:t>2026</m:t>
        </m:r>
        <m:r>
          <m:rPr>
            <m:sty m:val="p"/>
          </m:rPr>
          <m:t>,</m:t>
        </m:r>
        <m:r>
          <m:t>n</m:t>
        </m:r>
        <m:r>
          <m:t>e</m:t>
        </m:r>
        <m:r>
          <m:t>a</m:t>
        </m:r>
        <m:r>
          <m:t>r</m:t>
        </m:r>
        <m:r>
          <m:t>52</m:t>
        </m:r>
        <m:r>
          <m:rPr>
            <m:sty m:val="p"/>
          </m:rPr>
          <m:t>−</m:t>
        </m:r>
        <m:r>
          <m:t>w</m:t>
        </m:r>
        <m:r>
          <m:t>e</m:t>
        </m:r>
        <m:r>
          <m:t>e</m:t>
        </m:r>
        <m:r>
          <m:t>k</m:t>
        </m:r>
        <m:r>
          <m:t>h</m:t>
        </m:r>
        <m:r>
          <m:t>i</m:t>
        </m:r>
        <m:r>
          <m:t>g</m:t>
        </m:r>
        <m:r>
          <m:t>h</m:t>
        </m:r>
        <m:r>
          <m:t>s</m:t>
        </m:r>
        <m:r>
          <m:rPr>
            <m:sty m:val="p"/>
          </m:rPr>
          <m:t>,</m:t>
        </m:r>
        <m:r>
          <m:t>a</m:t>
        </m:r>
        <m:r>
          <m:t>f</m:t>
        </m:r>
        <m:r>
          <m:t>t</m:t>
        </m:r>
        <m:r>
          <m:t>e</m:t>
        </m:r>
        <m:r>
          <m:t>r</m:t>
        </m:r>
        <m:r>
          <m:t>a</m:t>
        </m:r>
        <m:r>
          <m:t>v</m:t>
        </m:r>
        <m:r>
          <m:t>o</m:t>
        </m:r>
        <m:r>
          <m:t>l</m:t>
        </m:r>
        <m:r>
          <m:t>a</m:t>
        </m:r>
        <m:r>
          <m:t>t</m:t>
        </m:r>
        <m:r>
          <m:t>i</m:t>
        </m:r>
        <m:r>
          <m:t>l</m:t>
        </m:r>
        <m:r>
          <m:t>e</m:t>
        </m:r>
        <m:r>
          <m:t>s</m:t>
        </m:r>
        <m:r>
          <m:t>p</m:t>
        </m:r>
        <m:r>
          <m:t>r</m:t>
        </m:r>
        <m:r>
          <m:t>i</m:t>
        </m:r>
        <m:r>
          <m:t>n</m:t>
        </m:r>
        <m:r>
          <m:t>g</m:t>
        </m:r>
        <m:r>
          <m:rPr>
            <m:sty m:val="p"/>
          </m:rPr>
          <m:t>—</m:t>
        </m:r>
        <m:r>
          <m:t>t</m:t>
        </m:r>
        <m:r>
          <m:t>h</m:t>
        </m:r>
        <m:r>
          <m:t>e</m:t>
        </m:r>
        <m:r>
          <m:t>s</m:t>
        </m:r>
        <m:r>
          <m:t>t</m:t>
        </m:r>
        <m:r>
          <m:t>o</m:t>
        </m:r>
        <m:r>
          <m:t>c</m:t>
        </m:r>
        <m:r>
          <m:t>k</m:t>
        </m:r>
        <m:r>
          <m:t>f</m:t>
        </m:r>
        <m:r>
          <m:t>e</m:t>
        </m:r>
        <m:r>
          <m:t>l</m:t>
        </m:r>
        <m:r>
          <m:t>l</m:t>
        </m:r>
        <m:r>
          <m:t>f</m:t>
        </m:r>
        <m:r>
          <m:t>r</m:t>
        </m:r>
        <m:r>
          <m:t>o</m:t>
        </m:r>
        <m:r>
          <m:t>m</m:t>
        </m:r>
        <m:r>
          <m:t> </m:t>
        </m:r>
      </m:oMath>
      <w:r>
        <w:t xml:space="preserve">136 to ~$107 in mid-May (largely a reaction to the GAAP net loss tied to PA Consulting deal accounting) before rallying more than 25% into the print.</w:t>
      </w:r>
    </w:p>
    <w:p>
      <w:r>
        <w:pict>
          <v:rect style="width:0;height:1.5pt" o:hralign="center" o:hrstd="t" o:hr="t"/>
        </w:pict>
      </w:r>
    </w:p>
    <w:bookmarkStart w:id="9" w:name="Xf7cc0c7b7b0a83bf607516f18269935380ba51d"/>
    <w:p>
      <w:pPr>
        <w:pStyle w:val="Heading2"/>
      </w:pPr>
      <w:r>
        <w:t xml:space="preserve">1. What Wall Street Is Looking For</w:t>
      </w:r>
    </w:p>
    <w:p>
      <w:pPr>
        <w:pStyle w:val="FirstParagraph"/>
      </w:pPr>
      <w:r>
        <w:t xml:space="preserve">Analyst consensus heading into the print calls for: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Adjusted EPS of ~$1.84</w:t>
      </w:r>
      <w:r>
        <w:t xml:space="preserve">, up roughly 13.6% year-over-year from $1.62, with the Zacks estimate having held steady over the past 30 days.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Gross revenue of ~$3.54 billion</w:t>
      </w:r>
      <w:r>
        <w:t xml:space="preserve">, up about 16.9% from $3.03 billion a year ago.</w:t>
      </w:r>
    </w:p>
    <w:p>
      <w:pPr>
        <w:pStyle w:val="Compact"/>
        <w:numPr>
          <w:ilvl w:val="0"/>
          <w:numId w:val="1001"/>
        </w:numPr>
      </w:pPr>
      <w:r>
        <w:t xml:space="preserve">Segment operating profit of roughly</w:t>
      </w:r>
      <w:r>
        <w:t xml:space="preserve"> </w:t>
      </w:r>
      <w:r>
        <w:rPr>
          <w:b/>
          <w:bCs/>
        </w:rPr>
        <w:t xml:space="preserve">$262 million for Infrastructure &amp; Advanced Facilities (I&amp;AF)** (+11% y/y) and **$</w:t>
      </w:r>
      <w:r>
        <w:rPr>
          <w:b/>
          <w:bCs/>
        </w:rPr>
        <w:t xml:space="preserve">83 million for PA Consulting</w:t>
      </w:r>
      <w:r>
        <w:t xml:space="preserve"> </w:t>
      </w:r>
      <w:r>
        <w:t xml:space="preserve">(+15.3% y/y).</w:t>
      </w:r>
    </w:p>
    <w:p>
      <w:pPr>
        <w:pStyle w:val="FirstParagraph"/>
      </w:pPr>
      <w:r>
        <w:t xml:space="preserve">Jacobs has beaten consensus EPS in each of the last four quarters (average surprise ~4%), including a Q2 beat where adjusted EPS topped estimates by 6.7% and gross revenue beat by 13.8%. The bar is therefore set high, and the stock's recent run-up suggests investors are positioned for another beat-and-raise.</w:t>
      </w:r>
    </w:p>
    <w:bookmarkEnd w:id="9"/>
    <w:bookmarkStart w:id="10" w:name="X0d227bb6229ec2ca0e92b66cc19b0edd6f152ac"/>
    <w:p>
      <w:pPr>
        <w:pStyle w:val="Heading2"/>
      </w:pPr>
      <w:r>
        <w:t xml:space="preserve">2. Company's Own Guidance for Q3</w:t>
      </w:r>
    </w:p>
    <w:p>
      <w:pPr>
        <w:pStyle w:val="FirstParagraph"/>
      </w:pPr>
      <w:r>
        <w:t xml:space="preserve">Management's own framework, laid out on the Q2 call, is the most important benchmark: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Adjusted EBITDA margin of ~15%</w:t>
      </w:r>
      <w:r>
        <w:t xml:space="preserve">, which would represent a roughly 90-basis-point sequential improvement from Q2's 14.1%.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Net revenue growth of ~7.5% y/y</w:t>
      </w:r>
      <w:r>
        <w:t xml:space="preserve"> </w:t>
      </w:r>
      <w:r>
        <w:t xml:space="preserve">— a deceleration from the 9% organic net revenue growth delivered in Q2, which investors will want to understand (conservatism vs. a genuine moderation).</w:t>
      </w:r>
    </w:p>
    <w:p>
      <w:pPr>
        <w:pStyle w:val="Compact"/>
        <w:numPr>
          <w:ilvl w:val="0"/>
          <w:numId w:val="1002"/>
        </w:numPr>
      </w:pPr>
      <w:r>
        <w:t xml:space="preserve">An</w:t>
      </w:r>
      <w:r>
        <w:t xml:space="preserve"> </w:t>
      </w:r>
      <w:r>
        <w:rPr>
          <w:b/>
          <w:bCs/>
        </w:rPr>
        <w:t xml:space="preserve">adjusted effective tax rate of 27%–28%</w:t>
      </w:r>
      <w:r>
        <w:t xml:space="preserve"> </w:t>
      </w:r>
      <w:r>
        <w:t xml:space="preserve">for both Q3 and Q4.</w:t>
      </w:r>
    </w:p>
    <w:p>
      <w:pPr>
        <w:pStyle w:val="Compact"/>
        <w:numPr>
          <w:ilvl w:val="0"/>
          <w:numId w:val="1002"/>
        </w:numPr>
      </w:pPr>
      <w:r>
        <w:t xml:space="preserve">Guidance implicitly sets up for a</w:t>
      </w:r>
      <w:r>
        <w:t xml:space="preserve"> </w:t>
      </w:r>
      <w:r>
        <w:rPr>
          <w:b/>
          <w:bCs/>
        </w:rPr>
        <w:t xml:space="preserve">&gt;16% EBITDA margin in Q4</w:t>
      </w:r>
      <w:r>
        <w:t xml:space="preserve">, aided by an extra week in the fiscal fourth quarter and double-digit top-line growth.</w:t>
      </w:r>
    </w:p>
    <w:p>
      <w:pPr>
        <w:pStyle w:val="FirstParagraph"/>
      </w:pPr>
      <w:r>
        <w:t xml:space="preserve">Any signs that margin progression is tracking ahead of or behind this glide path will be a key swing factor for the stock reaction.</w:t>
      </w:r>
    </w:p>
    <w:bookmarkEnd w:id="10"/>
    <w:bookmarkStart w:id="11" w:name="X31edb32c051b41cbab865f00ca830ad7af36bce"/>
    <w:p>
      <w:pPr>
        <w:pStyle w:val="Heading2"/>
      </w:pPr>
      <w:r>
        <w:t xml:space="preserve">3. The PA Consulting Overhang — Watch the GAAP/Adjusted Spread</w:t>
      </w:r>
    </w:p>
    <w:p>
      <w:pPr>
        <w:pStyle w:val="FirstParagraph"/>
      </w:pPr>
      <w:r>
        <w:t xml:space="preserve">Q2 featured a</w:t>
      </w:r>
      <w:r>
        <w:t xml:space="preserve"> </w:t>
      </w:r>
      <w:r>
        <w:rPr>
          <w:b/>
          <w:bCs/>
        </w:rPr>
        <w:t xml:space="preserve">GAAP net loss of</w:t>
      </w:r>
      <w:r>
        <w:rPr>
          <w:b/>
          <w:bCs/>
        </w:rPr>
        <w:t xml:space="preserve"> </w:t>
      </w:r>
      <m:oMath>
        <m:r>
          <m:t>43.0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(</m:t>
        </m:r>
        <m:r>
          <m:t>E</m:t>
        </m:r>
        <m:r>
          <m:t>P</m:t>
        </m:r>
        <m:r>
          <m:t>S</m:t>
        </m:r>
        <m:r>
          <m:t>o</m:t>
        </m:r>
        <m:r>
          <m:t>f</m:t>
        </m:r>
        <m:r>
          <m:rPr>
            <m:sty m:val="p"/>
          </m:rPr>
          <m:t>−</m:t>
        </m:r>
      </m:oMath>
      <w:r>
        <w:rPr>
          <w:b/>
          <w:bCs/>
        </w:rPr>
        <w:t xml:space="preserve">0.32)</w:t>
      </w:r>
      <w:r>
        <w:t xml:space="preserve"> </w:t>
      </w:r>
      <w:r>
        <w:t xml:space="preserve">against</w:t>
      </w:r>
      <w:r>
        <w:t xml:space="preserve"> </w:t>
      </w:r>
      <w:r>
        <w:rPr>
          <w:b/>
          <w:bCs/>
        </w:rPr>
        <w:t xml:space="preserve">adjusted EPS of $1.75</w:t>
      </w:r>
      <w:r>
        <w:t xml:space="preserve">, driven by one-time charges from closing the acquisition of the remaining stake in PA Consulting on March 20, 2026 — including roughly</w:t>
      </w:r>
      <w:r>
        <w:t xml:space="preserve"> </w:t>
      </w:r>
      <w:r>
        <w:t xml:space="preserve">$235 million of accelerated equity-based compensation vesting and other transaction costs. Management explicitly flagged that **this wide GAAP-to-adjusted spread was "mostly a Q2 phenomenon"** and should normalize in Q3 and beyond, though CFO Venk Nathamuni also noted a further ~$</w:t>
      </w:r>
      <w:r>
        <w:t xml:space="preserve">105 million cash outflow (employee benefit trust payments) would hit Q3's reported (not adjusted) free cash flow. Investors should confirm:</w:t>
      </w:r>
    </w:p>
    <w:p>
      <w:pPr>
        <w:pStyle w:val="Compact"/>
        <w:numPr>
          <w:ilvl w:val="0"/>
          <w:numId w:val="1003"/>
        </w:numPr>
      </w:pPr>
      <w:r>
        <w:t xml:space="preserve">GAAP EPS moves back toward adjusted EPS this quarter.</w:t>
      </w:r>
    </w:p>
    <w:p>
      <w:pPr>
        <w:pStyle w:val="Compact"/>
        <w:numPr>
          <w:ilvl w:val="0"/>
          <w:numId w:val="1003"/>
        </w:numPr>
      </w:pPr>
      <w:r>
        <w:t xml:space="preserve">The now-100%-owned PA Consulting continues its run of double-digit revenue growth (it grew revenue 17% y/y in Q2, its fourth straight quarter of double-digit growth) and maintains its ~22% operating margin, with management guiding to high-single-digit constant-currency growth in H2.</w:t>
      </w:r>
    </w:p>
    <w:p>
      <w:pPr>
        <w:pStyle w:val="Compact"/>
        <w:numPr>
          <w:ilvl w:val="0"/>
          <w:numId w:val="1003"/>
        </w:numPr>
      </w:pPr>
      <w:r>
        <w:t xml:space="preserve">Progress on the</w:t>
      </w:r>
      <w:r>
        <w:t xml:space="preserve"> </w:t>
      </w:r>
      <w:r>
        <w:rPr>
          <w:b/>
          <w:bCs/>
        </w:rPr>
        <w:t xml:space="preserve">raised cost-synergy target of at least $20 million within 24 months</w:t>
      </w:r>
      <w:r>
        <w:t xml:space="preserve"> </w:t>
      </w:r>
      <w:r>
        <w:t xml:space="preserve">(up from the original $16–20 million estimate at deal announcement) and early evidence of cross-sell/revenue synergies now that ownership barriers around joint pipeline visibility have been removed.</w:t>
      </w:r>
    </w:p>
    <w:bookmarkEnd w:id="11"/>
    <w:bookmarkStart w:id="12" w:name="X17ddebe77e6d18cff5ce3512c729713cf429f01"/>
    <w:p>
      <w:pPr>
        <w:pStyle w:val="Heading2"/>
      </w:pPr>
      <w:r>
        <w:t xml:space="preserve">4. Growth Drivers to Track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AI/data center infrastructure</w:t>
      </w:r>
      <w:r>
        <w:t xml:space="preserve">: This has become the marquee growth narrative. Data center revenue grew more than 100% y/y in Q2, and management said the broader "AI ecosystem" (chips through power/energy to data centers) represents 10%–11% of total company revenue and is growing over 40%. The data center pipeline alone was said to be up 400% y/y with visibility extending into FY27–FY28. Any deceleration or acceleration here will move the stock materially.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Life sciences &amp; advanced manufacturing</w:t>
      </w:r>
      <w:r>
        <w:t xml:space="preserve">: Net revenue grew 12% in Q2 — the highest growth rate since the company began reporting by end market — helped by semiconductor reshoring and a life sciences real-time pipeline that was up 81% y/y. Management expected H2 growth to exceed Q2's pace.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Critical infrastructure</w:t>
      </w:r>
      <w:r>
        <w:t xml:space="preserve">: Up 9% in Q2, led by double-digit growth in transportation (aviation, rail, ports/maritime) and strength in energy &amp; power tied to transmission/distribution demand. Recent contract wins include a DFW Terminal S design role and an eight-year UK transmission/distribution framework with Murphy for SSE.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Water &amp; Environmental</w:t>
      </w:r>
      <w:r>
        <w:t xml:space="preserve">: The laggard end market, up just 2% in Q2 as water strength was offset by environmental softness; management guided to a "meaningful year-over-year improvement" in environmental by Q4 — worth confirming this quarter.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Backlog/bookings</w:t>
      </w:r>
      <w:r>
        <w:t xml:space="preserve">: Backlog hit a record $27.0 billion in Q2 (+21.7% y/y), with a trailing-12-month book-to-bill of 1.4x gross / 1.2x on net revenue. Sustained book-to-bill above 1.0x is the clearest forward indicator of the growth outlook into FY27.</w:t>
      </w:r>
    </w:p>
    <w:bookmarkEnd w:id="12"/>
    <w:bookmarkStart w:id="13" w:name="X2fb38003ea371aa30decea3d2ccf60cc0b88995"/>
    <w:p>
      <w:pPr>
        <w:pStyle w:val="Heading2"/>
      </w:pPr>
      <w:r>
        <w:t xml:space="preserve">5. Balance Sheet, Capital Returns and Cash Flow</w:t>
      </w:r>
    </w:p>
    <w:p>
      <w:pPr>
        <w:pStyle w:val="Compact"/>
        <w:numPr>
          <w:ilvl w:val="0"/>
          <w:numId w:val="1005"/>
        </w:numPr>
      </w:pPr>
      <w:r>
        <w:t xml:space="preserve">Net leverage stood at</w:t>
      </w:r>
      <w:r>
        <w:t xml:space="preserve"> </w:t>
      </w:r>
      <w:r>
        <w:rPr>
          <w:b/>
          <w:bCs/>
        </w:rPr>
        <w:t xml:space="preserve">2.1x</w:t>
      </w:r>
      <w:r>
        <w:t xml:space="preserve"> </w:t>
      </w:r>
      <w:r>
        <w:t xml:space="preserve">at the end of Q2 (roughly half a turn above target) following debt raised for the PA transaction; management targets</w:t>
      </w:r>
      <w:r>
        <w:t xml:space="preserve"> </w:t>
      </w:r>
      <w:r>
        <w:rPr>
          <w:b/>
          <w:bCs/>
        </w:rPr>
        <w:t xml:space="preserve">below 2x by fiscal year-end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~1.5x in FY27</w:t>
      </w:r>
      <w:r>
        <w:t xml:space="preserve">, aided by a seasonally strong H2 (guided to $600–700 million of free cash flow in the second half).</w:t>
      </w:r>
    </w:p>
    <w:p>
      <w:pPr>
        <w:pStyle w:val="Compact"/>
        <w:numPr>
          <w:ilvl w:val="0"/>
          <w:numId w:val="1005"/>
        </w:numPr>
      </w:pPr>
      <w:r>
        <w:t xml:space="preserve">The company repurchased</w:t>
      </w:r>
      <w:r>
        <w:t xml:space="preserve"> </w:t>
      </w:r>
      <m:oMath>
        <m:r>
          <m:t>220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s</m:t>
        </m:r>
        <m:r>
          <m:t>t</m:t>
        </m:r>
        <m:r>
          <m:t>o</m:t>
        </m:r>
        <m:r>
          <m:t>c</m:t>
        </m:r>
        <m:r>
          <m:t>k</m:t>
        </m:r>
        <m:r>
          <m:t>i</m:t>
        </m:r>
        <m:r>
          <m:t>n</m:t>
        </m:r>
        <m:r>
          <m:t>Q</m:t>
        </m:r>
        <m:r>
          <m:t>2</m:t>
        </m:r>
        <m:r>
          <m:rPr>
            <m:sty m:val="p"/>
          </m:rPr>
          <m:t>(</m:t>
        </m:r>
      </m:oMath>
      <w:r>
        <w:rPr>
          <w:b/>
          <w:bCs/>
        </w:rPr>
        <w:t xml:space="preserve">472 million year-to-date)</w:t>
      </w:r>
      <w:r>
        <w:t xml:space="preserve">, running ahead of its commitment to return at least 60% of free cash flow to shareholders, and raised its quarterly dividend by 12.5% earlier in the year.</w:t>
      </w:r>
    </w:p>
    <w:p>
      <w:pPr>
        <w:pStyle w:val="Compact"/>
        <w:numPr>
          <w:ilvl w:val="0"/>
          <w:numId w:val="1005"/>
        </w:numPr>
      </w:pPr>
      <w:r>
        <w:t xml:space="preserve">Watch for commentary on whether buyback pace continues at this clip given the simultaneous deleveraging priority.</w:t>
      </w:r>
    </w:p>
    <w:bookmarkEnd w:id="13"/>
    <w:bookmarkStart w:id="14" w:name="X5ccc6709879736419cd1a85a8bcc9738c5d53bb"/>
    <w:p>
      <w:pPr>
        <w:pStyle w:val="Heading2"/>
      </w:pPr>
      <w:r>
        <w:t xml:space="preserve">6. FY26 Guidance and Longer-Term Targets</w:t>
      </w:r>
    </w:p>
    <w:p>
      <w:pPr>
        <w:pStyle w:val="FirstParagraph"/>
      </w:pPr>
      <w:r>
        <w:t xml:space="preserve">Jacobs has already</w:t>
      </w:r>
      <w:r>
        <w:t xml:space="preserve"> </w:t>
      </w:r>
      <w:r>
        <w:rPr>
          <w:b/>
          <w:bCs/>
        </w:rPr>
        <w:t xml:space="preserve">raised full-year FY26 guidance twice</w:t>
      </w:r>
      <w:r>
        <w:t xml:space="preserve"> </w:t>
      </w:r>
      <w:r>
        <w:t xml:space="preserve">this year. Current targets are: adjusted net revenue growth of 8.0%–10.5%, adjusted EBITDA margin of 14.6%–14.9%, adjusted EPS of</w:t>
      </w:r>
      <w:r>
        <w:t xml:space="preserve"> </w:t>
      </w:r>
      <m:oMath>
        <m:r>
          <m:t>7.10</m:t>
        </m:r>
        <m:r>
          <m:rPr>
            <m:sty m:val="p"/>
          </m:rPr>
          <m:t>–</m:t>
        </m:r>
      </m:oMath>
      <w:r>
        <w:t xml:space="preserve">7.35 (implying ~18% EPS growth at the midpoint), and adjusted free cash flow margin of 7.0%–8.5%. A third raise, or at minimum a reaffirmation with confidence in the top end of the range, would be well received; any guidance trim would be a notable disappointment given how far shares have run.</w:t>
      </w:r>
    </w:p>
    <w:p>
      <w:pPr>
        <w:pStyle w:val="BodyText"/>
      </w:pPr>
      <w:r>
        <w:t xml:space="preserve">Separately, at the Q2 call management also refreshed longer-term FY29 targets: reaffirmed 6%–8% organic net-revenue CAGR (with confidence toward the higher end given AI infrastructure exposure and PA revenue synergies), raised the adjusted EBITDA margin target by 100 bps to</w:t>
      </w:r>
      <w:r>
        <w:t xml:space="preserve"> </w:t>
      </w:r>
      <w:r>
        <w:rPr>
          <w:b/>
          <w:bCs/>
        </w:rPr>
        <w:t xml:space="preserve">17%+</w:t>
      </w:r>
      <w:r>
        <w:t xml:space="preserve">, and raised the free cash flow margin target by 100 bps to</w:t>
      </w:r>
      <w:r>
        <w:t xml:space="preserve"> </w:t>
      </w:r>
      <w:r>
        <w:rPr>
          <w:b/>
          <w:bCs/>
        </w:rPr>
        <w:t xml:space="preserve">11%+</w:t>
      </w:r>
      <w:r>
        <w:t xml:space="preserve">, implying</w:t>
      </w:r>
      <w:r>
        <w:t xml:space="preserve"> </w:t>
      </w:r>
      <m:oMath>
        <m:r>
          <m:t>1.2</m:t>
        </m:r>
        <m:r>
          <m:rPr>
            <m:sty m:val="p"/>
          </m:rPr>
          <m:t>–</m:t>
        </m:r>
      </m:oMath>
      <w:r>
        <w:t xml:space="preserve">1.3 billion of annual free cash flow by FY29.</w:t>
      </w:r>
    </w:p>
    <w:bookmarkEnd w:id="14"/>
    <w:bookmarkStart w:id="15" w:name="Xe735fd1ae9e38e3c89922c1597bf0a14b843ddb"/>
    <w:p>
      <w:pPr>
        <w:pStyle w:val="Heading2"/>
      </w:pPr>
      <w:r>
        <w:t xml:space="preserve">7. Sentiment, Valuation and Risks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Analyst sentiment</w:t>
      </w:r>
      <w:r>
        <w:t xml:space="preserve"> </w:t>
      </w:r>
      <w:r>
        <w:t xml:space="preserve">is broadly constructive: consensus rating is "Buy" (roughly 30% Strong Buy, 30% Buy, 40% Hold among ~10 covering analysts as of mid-July), with average price targets clustered in the</w:t>
      </w:r>
      <w:r>
        <w:t xml:space="preserve"> </w:t>
      </w:r>
      <m:oMath>
        <m:r>
          <m:t>150</m:t>
        </m:r>
        <m:r>
          <m:rPr>
            <m:sty m:val="p"/>
          </m:rPr>
          <m:t>–</m:t>
        </m:r>
      </m:oMath>
      <w:r>
        <w:rPr>
          <w:b/>
          <w:bCs/>
        </w:rPr>
        <w:t xml:space="preserve">158 range</w:t>
      </w:r>
      <w:r>
        <w:t xml:space="preserve"> </w:t>
      </w:r>
      <w:r>
        <w:t xml:space="preserve">(some as high as</w:t>
      </w:r>
      <w:r>
        <w:t xml:space="preserve"> </w:t>
      </w:r>
      <m:oMath>
        <m:r>
          <m:t>180</m:t>
        </m:r>
        <m:r>
          <m:rPr>
            <m:sty m:val="p"/>
          </m:rPr>
          <m:t>–</m:t>
        </m:r>
      </m:oMath>
      <w:r>
        <w:t xml:space="preserve">181), versus an ~$139 stock — suggesting the Street sees upside even after the recent rally. Recent actions have skewed positive: RBC reiterated a Buy, and Citi reportedly opened a bullish 90-day catalyst watch on the name in late July, while Baird has remained on the sidelines with a Neutral rating and a $126 target set back in April (since overtaken by the stock's rise).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Key risks/watch items</w:t>
      </w:r>
      <w:r>
        <w:t xml:space="preserve">: (1) any slowdown in AI/data-center capex commitments among hyperscalers/Neoclouds that Jacobs is central to; (2) political/legislative uncertainty around IIJA reauthorization and federal infrastructure funding, though management has characterized even a continuing-resolution scenario as manageable given the long-tail nature of programs and being only ~50% outlaid on current IIJA funding; (3) Middle East geopolitical disruption to project delivery (minimal impact reported so far, mitigated by Jacobs' global delivery model); (4) execution risk on PA Consulting integration and realizing revenue/cost synergies; (5) valuation risk — with the stock up sharply into the print, even a solid quarter that merely meets expectations could trigger a "sell the news" reaction if margin or growth trends show any deceleration beyond what's already guided.</w:t>
      </w:r>
    </w:p>
    <w:bookmarkEnd w:id="15"/>
    <w:bookmarkStart w:id="16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Jacobs enters this print with strong momentum: record backlog, accelerating AI-infrastructure-linked growth, expanding margins, and two consecutive guidance raises this fiscal year. The setup for Q3 is straightforward — the company itself has guided to ~15% adjusted EBITDA margin and ~7.5% net revenue growth, and consensus EPS sits near $1.84. The most important things for investors to watch are: (1) whether margin expansion is tracking toward the implied &gt;16% Q4 exit rate, (2) continued strength/acceleration in AI-driven data center, semiconductor and life sciences bookings, (3) normalization of the GAAP-to-adjusted EPS gap now that the PA Consulting transaction has closed, and (4) whether management raises FY26 guidance for a third straight quarter. Given the stock's strong run into the report, execution needs to match or exceed an already-elevated bar.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2026-08-04T01:36:06Z</dcterms:created>
  <dcterms:modified xsi:type="dcterms:W3CDTF">2026-08-04T01:36:06Z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