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-earnings-predictions--2026-08-04"/>
    <w:p>
      <w:pPr>
        <w:pStyle w:val="Heading1"/>
      </w:pPr>
      <w:r>
        <w:t xml:space="preserve">J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 vs. cons $1.83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~$2.43B vs. cons $2.40B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~15.0% vs. cons 15.0%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~$7.35 midpoint vs. cons $7.28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net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~9.8% midpoint vs. cons 9.3%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~14.9% midpoint vs. cons 14.8%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free-cash-flow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~7.75% midpoint vs. cons 7.75%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~16.2% vs. cons 16.1% (FY2026 Q4)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+3.4% (FOLLOW-THROUGH)</w:t>
            </w:r>
          </w:p>
        </w:tc>
        <w:tc>
          <w:tcPr/>
          <w:p>
            <w:pPr>
              <w:pStyle w:val="Compact"/>
            </w:pPr>
            <w:r>
              <w:t xml:space="preserve">A modest Q3 beat and FY2026 EPS midpoint of ~$7.35 vs. consensus $7.28 would lift estimates; reaffirmed Q4 margin of ~16.2% vs. consensus 16.1% leaves positive out-period math rather than an implicit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2026-08-04T01:28:58Z</dcterms:created>
  <dcterms:modified xsi:type="dcterms:W3CDTF">2026-08-04T01:28:58Z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