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2fb0efc41cb3f2c08a617bedc8921191318eec0"/>
    <w:p>
      <w:pPr>
        <w:pStyle w:val="Heading1"/>
      </w:pPr>
      <w:r>
        <w:t xml:space="preserve">Jacobs Solutions (NYSE: J) Fiscal Q3 2026 Earnings Preview</w:t>
      </w:r>
    </w:p>
    <w:p>
      <w:pPr>
        <w:pStyle w:val="BlockText"/>
      </w:pPr>
      <w:r>
        <w:rPr>
          <w:b/>
          <w:bCs/>
        </w:rPr>
        <w:t xml:space="preserve">Timing clarification:</w:t>
      </w:r>
      <w:r>
        <w:t xml:space="preserve"> </w:t>
      </w:r>
      <w:r>
        <w:t xml:space="preserve">Jacobs is scheduled to release fiscal Q3 results</w:t>
      </w:r>
      <w:r>
        <w:t xml:space="preserve"> </w:t>
      </w:r>
      <w:r>
        <w:rPr>
          <w:b/>
          <w:bCs/>
        </w:rPr>
        <w:t xml:space="preserve">after the market closes today, Tuesday, August 4, 2026</w:t>
      </w:r>
      <w:r>
        <w:t xml:space="preserve">, followed by its earnings call at</w:t>
      </w:r>
      <w:r>
        <w:t xml:space="preserve"> </w:t>
      </w:r>
      <w:r>
        <w:rPr>
          <w:b/>
          <w:bCs/>
        </w:rPr>
        <w:t xml:space="preserve">4:30 p.m. ET</w:t>
      </w:r>
      <w:r>
        <w:t xml:space="preserve">. The event is not tomorrow.</w:t>
      </w:r>
    </w:p>
    <w:bookmarkStart w:id="9" w:name="investment-setup"/>
    <w:p>
      <w:pPr>
        <w:pStyle w:val="Heading2"/>
      </w:pPr>
      <w:r>
        <w:t xml:space="preserve">Investment setup</w:t>
      </w:r>
    </w:p>
    <w:p>
      <w:pPr>
        <w:pStyle w:val="FirstParagraph"/>
      </w:pPr>
      <w:r>
        <w:t xml:space="preserve">Jacobs enters the report with strong operating momentum but a demanding second-half plan. Fiscal Q2 featured 9% adjusted-net-revenue growth, 70 basis points of EBITDA-margin expansion and record backlog, prompting management to raise guidance for the second consecutive quarter.</w:t>
      </w:r>
    </w:p>
    <w:p>
      <w:pPr>
        <w:pStyle w:val="BodyText"/>
      </w:pPr>
      <w:r>
        <w:t xml:space="preserve">The central question is no longer whether demand is healthy. It is whether Jacobs can convert its unusually strong bookings and AI-infrastructure pipeline into revenue, margins and cash flow quickly enough to support:</w:t>
      </w:r>
    </w:p>
    <w:p>
      <w:pPr>
        <w:pStyle w:val="Compact"/>
        <w:numPr>
          <w:ilvl w:val="0"/>
          <w:numId w:val="1001"/>
        </w:numPr>
      </w:pPr>
      <w:r>
        <w:t xml:space="preserve">Approximately</w:t>
      </w:r>
      <w:r>
        <w:t xml:space="preserve"> </w:t>
      </w:r>
      <w:r>
        <w:rPr>
          <w:b/>
          <w:bCs/>
        </w:rPr>
        <w:t xml:space="preserve">15% Q3 adjusted EBITDA margin</w:t>
      </w:r>
    </w:p>
    <w:p>
      <w:pPr>
        <w:pStyle w:val="Compact"/>
        <w:numPr>
          <w:ilvl w:val="0"/>
          <w:numId w:val="1001"/>
        </w:numPr>
      </w:pPr>
      <w:r>
        <w:t xml:space="preserve">Double-digit Q4 adjusted-net-revenue growth</w:t>
      </w:r>
    </w:p>
    <w:p>
      <w:pPr>
        <w:pStyle w:val="Compact"/>
        <w:numPr>
          <w:ilvl w:val="0"/>
          <w:numId w:val="1001"/>
        </w:numPr>
      </w:pPr>
      <w:r>
        <w:t xml:space="preserve">More than</w:t>
      </w:r>
      <w:r>
        <w:t xml:space="preserve"> </w:t>
      </w:r>
      <w:r>
        <w:rPr>
          <w:b/>
          <w:bCs/>
        </w:rPr>
        <w:t xml:space="preserve">16% Q4 adjusted EBITDA margin</w:t>
      </w:r>
    </w:p>
    <w:p>
      <w:pPr>
        <w:pStyle w:val="Compact"/>
        <w:numPr>
          <w:ilvl w:val="0"/>
          <w:numId w:val="1001"/>
        </w:numPr>
      </w:pPr>
      <w:r>
        <w:rPr>
          <w:b/>
          <w:bCs/>
        </w:rPr>
        <w:t xml:space="preserve">$600–700 million</w:t>
      </w:r>
      <w:r>
        <w:t xml:space="preserve"> </w:t>
      </w:r>
      <w:r>
        <w:t xml:space="preserve">of second-half free cash flow</w:t>
      </w:r>
    </w:p>
    <w:p>
      <w:pPr>
        <w:pStyle w:val="Compact"/>
        <w:numPr>
          <w:ilvl w:val="0"/>
          <w:numId w:val="1001"/>
        </w:numPr>
      </w:pPr>
      <w:r>
        <w:t xml:space="preserve">Deleveraging following the acquisition of the remaining PA Consulting stake</w:t>
      </w:r>
    </w:p>
    <w:p>
      <w:pPr>
        <w:pStyle w:val="FirstParagraph"/>
      </w:pPr>
      <w:r>
        <w:t xml:space="preserve">A Q3 beat would be positive, but the stock reaction may depend more on whether management de-risks that ambitious Q4 outlook and provides a constructive initial setup for fiscal 2027.</w:t>
      </w:r>
    </w:p>
    <w:bookmarkEnd w:id="9"/>
    <w:bookmarkStart w:id="11" w:name="the-q3-benchmark"/>
    <w:p>
      <w:pPr>
        <w:pStyle w:val="Heading2"/>
      </w:pPr>
      <w:r>
        <w:t xml:space="preserve">The Q3 benchmark</w:t>
      </w:r>
    </w:p>
    <w:p>
      <w:pPr>
        <w:pStyle w:val="FirstParagraph"/>
      </w:pPr>
      <w:r>
        <w:t xml:space="preserve">Management provided unusually specific Q3 expectations in May:</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Management’s Q3 expectation</w:t>
            </w:r>
          </w:p>
        </w:tc>
        <w:tc>
          <w:tcPr/>
          <w:p>
            <w:pPr>
              <w:pStyle w:val="Compact"/>
              <w:jc w:val="right"/>
            </w:pPr>
            <w:r>
              <w:t xml:space="preserve">Implied result</w:t>
            </w:r>
          </w:p>
        </w:tc>
      </w:tr>
      <w:tr>
        <w:tc>
          <w:tcPr/>
          <w:p>
            <w:pPr>
              <w:pStyle w:val="Compact"/>
            </w:pPr>
            <w:r>
              <w:t xml:space="preserve">Adjusted net revenue growth</w:t>
            </w:r>
          </w:p>
        </w:tc>
        <w:tc>
          <w:tcPr/>
          <w:p>
            <w:pPr>
              <w:pStyle w:val="Compact"/>
              <w:jc w:val="right"/>
            </w:pPr>
            <w:r>
              <w:t xml:space="preserve">Approximately 7.5%</w:t>
            </w:r>
          </w:p>
        </w:tc>
        <w:tc>
          <w:tcPr/>
          <w:p>
            <w:pPr>
              <w:pStyle w:val="Compact"/>
              <w:jc w:val="right"/>
            </w:pPr>
            <w:r>
              <w:t xml:space="preserve">About</w:t>
            </w:r>
            <w:r>
              <w:t xml:space="preserve"> </w:t>
            </w:r>
            <w:r>
              <w:rPr>
                <w:b/>
                <w:bCs/>
              </w:rPr>
              <w:t xml:space="preserve">$2.40 billion</w:t>
            </w:r>
          </w:p>
        </w:tc>
      </w:tr>
      <w:tr>
        <w:tc>
          <w:tcPr/>
          <w:p>
            <w:pPr>
              <w:pStyle w:val="Compact"/>
            </w:pPr>
            <w:r>
              <w:t xml:space="preserve">Adjusted EBITDA margin</w:t>
            </w:r>
          </w:p>
        </w:tc>
        <w:tc>
          <w:tcPr/>
          <w:p>
            <w:pPr>
              <w:pStyle w:val="Compact"/>
              <w:jc w:val="right"/>
            </w:pPr>
            <w:r>
              <w:t xml:space="preserve">Approximately 15%</w:t>
            </w:r>
          </w:p>
        </w:tc>
        <w:tc>
          <w:tcPr/>
          <w:p>
            <w:pPr>
              <w:pStyle w:val="Compact"/>
              <w:jc w:val="right"/>
            </w:pPr>
            <w:r>
              <w:t xml:space="preserve">About</w:t>
            </w:r>
            <w:r>
              <w:t xml:space="preserve"> </w:t>
            </w:r>
            <w:r>
              <w:rPr>
                <w:b/>
                <w:bCs/>
              </w:rPr>
              <w:t xml:space="preserve">$360 million</w:t>
            </w:r>
          </w:p>
        </w:tc>
      </w:tr>
      <w:tr>
        <w:tc>
          <w:tcPr/>
          <w:p>
            <w:pPr>
              <w:pStyle w:val="Compact"/>
            </w:pPr>
            <w:r>
              <w:t xml:space="preserve">Adjusted effective tax rate</w:t>
            </w:r>
          </w:p>
        </w:tc>
        <w:tc>
          <w:tcPr/>
          <w:p>
            <w:pPr>
              <w:pStyle w:val="Compact"/>
              <w:jc w:val="right"/>
            </w:pPr>
            <w:r>
              <w:t xml:space="preserve">27%–28%</w:t>
            </w:r>
          </w:p>
        </w:tc>
        <w:tc>
          <w:tcPr/>
          <w:p>
            <w:pPr>
              <w:pStyle w:val="Compact"/>
              <w:jc w:val="right"/>
            </w:pPr>
            <w:r>
              <w:t xml:space="preserve">—</w:t>
            </w:r>
          </w:p>
        </w:tc>
      </w:tr>
    </w:tbl>
    <w:p>
      <w:pPr>
        <w:pStyle w:val="BodyText"/>
      </w:pPr>
      <w:r>
        <w:t xml:space="preserve">The implied revenue figure applies 7.5% growth to fiscal Q3 2025 adjusted net revenue of $2.23 billion. The EBITDA estimate then applies the 15% margin target.</w:t>
      </w:r>
    </w:p>
    <w:p>
      <w:pPr>
        <w:pStyle w:val="BodyText"/>
      </w:pPr>
      <w:r>
        <w:t xml:space="preserve">Management did not provide quarterly EPS guidance. A rough model using the operating targets, current interest expense and the guided tax rate points toward adjusted EPS in the</w:t>
      </w:r>
      <w:r>
        <w:t xml:space="preserve"> </w:t>
      </w:r>
      <w:r>
        <w:rPr>
          <w:b/>
          <w:bCs/>
        </w:rPr>
        <w:t xml:space="preserve">low-$1.80s</w:t>
      </w:r>
      <w:r>
        <w:t xml:space="preserve">, although below-the-line items could move that figure.</w:t>
      </w:r>
    </w:p>
    <w:bookmarkStart w:id="10" w:name="current-full-year-guidance"/>
    <w:p>
      <w:pPr>
        <w:pStyle w:val="Heading3"/>
      </w:pPr>
      <w:r>
        <w:t xml:space="preserve">Current full-year guidance</w:t>
      </w:r>
    </w:p>
    <w:p>
      <w:pPr>
        <w:pStyle w:val="Compact"/>
        <w:numPr>
          <w:ilvl w:val="0"/>
          <w:numId w:val="1002"/>
        </w:numPr>
      </w:pPr>
      <w:r>
        <w:rPr>
          <w:b/>
          <w:bCs/>
        </w:rPr>
        <w:t xml:space="preserve">Adjusted net revenue growth:</w:t>
      </w:r>
      <w:r>
        <w:t xml:space="preserve"> </w:t>
      </w:r>
      <w:r>
        <w:t xml:space="preserve">8.0%–10.5%</w:t>
      </w:r>
    </w:p>
    <w:p>
      <w:pPr>
        <w:pStyle w:val="Compact"/>
        <w:numPr>
          <w:ilvl w:val="0"/>
          <w:numId w:val="1002"/>
        </w:numPr>
      </w:pPr>
      <w:r>
        <w:rPr>
          <w:b/>
          <w:bCs/>
        </w:rPr>
        <w:t xml:space="preserve">Adjusted EBITDA margin:</w:t>
      </w:r>
      <w:r>
        <w:t xml:space="preserve"> </w:t>
      </w:r>
      <w:r>
        <w:t xml:space="preserve">14.6%–14.9%</w:t>
      </w:r>
    </w:p>
    <w:p>
      <w:pPr>
        <w:pStyle w:val="Compact"/>
        <w:numPr>
          <w:ilvl w:val="0"/>
          <w:numId w:val="1002"/>
        </w:numPr>
      </w:pPr>
      <w:r>
        <w:rPr>
          <w:b/>
          <w:bCs/>
        </w:rPr>
        <w:t xml:space="preserve">Adjusted EPS:</w:t>
      </w:r>
      <w:r>
        <w:t xml:space="preserve"> </w:t>
      </w:r>
      <m:oMath>
        <m:r>
          <m:t>7.10</m:t>
        </m:r>
        <m:r>
          <m:rPr>
            <m:sty m:val="p"/>
          </m:rPr>
          <m:t>–</m:t>
        </m:r>
      </m:oMath>
      <w:r>
        <w:t xml:space="preserve">7.35</w:t>
      </w:r>
    </w:p>
    <w:p>
      <w:pPr>
        <w:pStyle w:val="Compact"/>
        <w:numPr>
          <w:ilvl w:val="0"/>
          <w:numId w:val="1002"/>
        </w:numPr>
      </w:pPr>
      <w:r>
        <w:rPr>
          <w:b/>
          <w:bCs/>
        </w:rPr>
        <w:t xml:space="preserve">Adjusted free-cash-flow margin:</w:t>
      </w:r>
      <w:r>
        <w:t xml:space="preserve"> </w:t>
      </w:r>
      <w:r>
        <w:t xml:space="preserve">7.0%–8.5%</w:t>
      </w:r>
    </w:p>
    <w:p>
      <w:pPr>
        <w:pStyle w:val="FirstParagraph"/>
      </w:pPr>
      <w:r>
        <w:t xml:space="preserve">Jacobs generated</w:t>
      </w:r>
      <w:r>
        <w:t xml:space="preserve"> </w:t>
      </w:r>
      <m:oMath>
        <m:r>
          <m:t>3.28</m:t>
        </m:r>
        <m:r>
          <m:t>o</m:t>
        </m:r>
        <m:r>
          <m:t>f</m:t>
        </m:r>
        <m:r>
          <m:t>a</m:t>
        </m:r>
        <m:r>
          <m:t>d</m:t>
        </m:r>
        <m:r>
          <m:t>j</m:t>
        </m:r>
        <m:r>
          <m:t>u</m:t>
        </m:r>
        <m:r>
          <m:t>s</m:t>
        </m:r>
        <m:r>
          <m:t>t</m:t>
        </m:r>
        <m:r>
          <m:t>e</m:t>
        </m:r>
        <m:r>
          <m:t>d</m:t>
        </m:r>
        <m:r>
          <m:t>E</m:t>
        </m:r>
        <m:r>
          <m:t>P</m:t>
        </m:r>
        <m:r>
          <m:t>S</m:t>
        </m:r>
        <m:r>
          <m:t>i</m:t>
        </m:r>
        <m:r>
          <m:t>n</m:t>
        </m:r>
        <m:r>
          <m:t>t</m:t>
        </m:r>
        <m:r>
          <m:t>h</m:t>
        </m:r>
        <m:r>
          <m:t>e</m:t>
        </m:r>
        <m:r>
          <m:t>f</m:t>
        </m:r>
        <m:r>
          <m:t>i</m:t>
        </m:r>
        <m:r>
          <m:t>r</m:t>
        </m:r>
        <m:r>
          <m:t>s</m:t>
        </m:r>
        <m:r>
          <m:t>t</m:t>
        </m:r>
        <m:r>
          <m:t>h</m:t>
        </m:r>
        <m:r>
          <m:t>a</m:t>
        </m:r>
        <m:r>
          <m:t>l</m:t>
        </m:r>
        <m:r>
          <m:t>f</m:t>
        </m:r>
        <m:r>
          <m:rPr>
            <m:sty m:val="p"/>
          </m:rPr>
          <m:t>,</m:t>
        </m:r>
        <m:r>
          <m:t>l</m:t>
        </m:r>
        <m:r>
          <m:t>e</m:t>
        </m:r>
        <m:r>
          <m:t>a</m:t>
        </m:r>
        <m:r>
          <m:t>v</m:t>
        </m:r>
        <m:r>
          <m:t>i</m:t>
        </m:r>
        <m:r>
          <m:t>n</m:t>
        </m:r>
        <m:r>
          <m:t>g</m:t>
        </m:r>
        <m:r>
          <m:rPr>
            <m:sty m:val="p"/>
          </m:rPr>
          <m:t>*</m:t>
        </m:r>
        <m:r>
          <m:rPr>
            <m:sty m:val="p"/>
          </m:rPr>
          <m:t>*</m:t>
        </m:r>
      </m:oMath>
      <w:r>
        <w:t xml:space="preserve">3.82–$4.07** required in the second half. That makes the Q4 earnings ramp an important part of the thesis.</w:t>
      </w:r>
    </w:p>
    <w:bookmarkEnd w:id="10"/>
    <w:bookmarkEnd w:id="11"/>
    <w:bookmarkStart w:id="17" w:name="what-matters-most"/>
    <w:p>
      <w:pPr>
        <w:pStyle w:val="Heading2"/>
      </w:pPr>
      <w:r>
        <w:t xml:space="preserve">What matters most</w:t>
      </w:r>
    </w:p>
    <w:bookmarkStart w:id="12" w:name="Xdb5d0047119cd2ab91cd7338f75417a896ecc6e"/>
    <w:p>
      <w:pPr>
        <w:pStyle w:val="Heading3"/>
      </w:pPr>
      <w:r>
        <w:t xml:space="preserve">1. AI infrastructure: evidence of conversion, not more pipeline commentary</w:t>
      </w:r>
    </w:p>
    <w:p>
      <w:pPr>
        <w:pStyle w:val="FirstParagraph"/>
      </w:pPr>
      <w:r>
        <w:t xml:space="preserve">AI-related capital spending has become Jacobs’ most important growth narrative.</w:t>
      </w:r>
    </w:p>
    <w:p>
      <w:pPr>
        <w:pStyle w:val="BodyText"/>
      </w:pPr>
      <w:r>
        <w:t xml:space="preserve">At the Q2 call, management said:</w:t>
      </w:r>
    </w:p>
    <w:p>
      <w:pPr>
        <w:pStyle w:val="Compact"/>
        <w:numPr>
          <w:ilvl w:val="0"/>
          <w:numId w:val="1003"/>
        </w:numPr>
      </w:pPr>
      <w:r>
        <w:t xml:space="preserve">Data centers represented roughly</w:t>
      </w:r>
      <w:r>
        <w:t xml:space="preserve"> </w:t>
      </w:r>
      <w:r>
        <w:rPr>
          <w:b/>
          <w:bCs/>
        </w:rPr>
        <w:t xml:space="preserve">3%–4%</w:t>
      </w:r>
      <w:r>
        <w:t xml:space="preserve"> </w:t>
      </w:r>
      <w:r>
        <w:t xml:space="preserve">of the business and were growing more than 100%.</w:t>
      </w:r>
    </w:p>
    <w:p>
      <w:pPr>
        <w:pStyle w:val="Compact"/>
        <w:numPr>
          <w:ilvl w:val="0"/>
          <w:numId w:val="1003"/>
        </w:numPr>
      </w:pPr>
      <w:r>
        <w:t xml:space="preserve">The broader AI-infrastructure ecosystem represented approximately</w:t>
      </w:r>
      <w:r>
        <w:t xml:space="preserve"> </w:t>
      </w:r>
      <w:r>
        <w:rPr>
          <w:b/>
          <w:bCs/>
        </w:rPr>
        <w:t xml:space="preserve">10%–11%</w:t>
      </w:r>
      <w:r>
        <w:t xml:space="preserve"> </w:t>
      </w:r>
      <w:r>
        <w:t xml:space="preserve">of revenue and was growing more than 40%.</w:t>
      </w:r>
    </w:p>
    <w:p>
      <w:pPr>
        <w:pStyle w:val="Compact"/>
        <w:numPr>
          <w:ilvl w:val="0"/>
          <w:numId w:val="1003"/>
        </w:numPr>
      </w:pPr>
      <w:r>
        <w:t xml:space="preserve">The data-center pipeline had increased roughly</w:t>
      </w:r>
      <w:r>
        <w:t xml:space="preserve"> </w:t>
      </w:r>
      <w:r>
        <w:rPr>
          <w:b/>
          <w:bCs/>
        </w:rPr>
        <w:t xml:space="preserve">400% year over year</w:t>
      </w:r>
      <w:r>
        <w:t xml:space="preserve">.</w:t>
      </w:r>
    </w:p>
    <w:p>
      <w:pPr>
        <w:pStyle w:val="Compact"/>
        <w:numPr>
          <w:ilvl w:val="0"/>
          <w:numId w:val="1003"/>
        </w:numPr>
      </w:pPr>
      <w:r>
        <w:t xml:space="preserve">Jacobs had visibility through fiscal 2027 and into 2028.</w:t>
      </w:r>
    </w:p>
    <w:p>
      <w:pPr>
        <w:pStyle w:val="FirstParagraph"/>
      </w:pPr>
      <w:r>
        <w:t xml:space="preserve">The broader opportunity includes semiconductors, high-bandwidth-memory facilities, power generation and transmission, water infrastructure and the data centers themselves.</w:t>
      </w:r>
    </w:p>
    <w:p>
      <w:pPr>
        <w:pStyle w:val="BodyText"/>
      </w:pPr>
      <w:r>
        <w:t xml:space="preserve">Investors should look for:</w:t>
      </w:r>
    </w:p>
    <w:p>
      <w:pPr>
        <w:pStyle w:val="Compact"/>
        <w:numPr>
          <w:ilvl w:val="0"/>
          <w:numId w:val="1004"/>
        </w:numPr>
      </w:pPr>
      <w:r>
        <w:t xml:space="preserve">Continued triple-digit data-center growth</w:t>
      </w:r>
    </w:p>
    <w:p>
      <w:pPr>
        <w:pStyle w:val="Compact"/>
        <w:numPr>
          <w:ilvl w:val="0"/>
          <w:numId w:val="1004"/>
        </w:numPr>
      </w:pPr>
      <w:r>
        <w:t xml:space="preserve">Bookings converting into reported adjusted net revenue</w:t>
      </w:r>
    </w:p>
    <w:p>
      <w:pPr>
        <w:pStyle w:val="Compact"/>
        <w:numPr>
          <w:ilvl w:val="0"/>
          <w:numId w:val="1004"/>
        </w:numPr>
      </w:pPr>
      <w:r>
        <w:t xml:space="preserve">Evidence that supply, power and labor constraints are not delaying customer projects</w:t>
      </w:r>
    </w:p>
    <w:p>
      <w:pPr>
        <w:pStyle w:val="Compact"/>
        <w:numPr>
          <w:ilvl w:val="0"/>
          <w:numId w:val="1004"/>
        </w:numPr>
      </w:pPr>
      <w:r>
        <w:t xml:space="preserve">Additional work with hyperscalers, neocloud providers and NVIDIA-linked designs</w:t>
      </w:r>
    </w:p>
    <w:p>
      <w:pPr>
        <w:pStyle w:val="Compact"/>
        <w:numPr>
          <w:ilvl w:val="0"/>
          <w:numId w:val="1004"/>
        </w:numPr>
      </w:pPr>
      <w:r>
        <w:t xml:space="preserve">Confirmation that rapid growth is contributing to margin expansion rather than requiring elevated hiring or execution costs</w:t>
      </w:r>
    </w:p>
    <w:p>
      <w:pPr>
        <w:pStyle w:val="FirstParagraph"/>
      </w:pPr>
      <w:r>
        <w:t xml:space="preserve">Strong pipeline statistics alone may have diminishing value. The market needs to see backlog conversion and earnings contribution.</w:t>
      </w:r>
    </w:p>
    <w:bookmarkEnd w:id="12"/>
    <w:bookmarkStart w:id="13" w:name="X315633aa1073e2f5873fb24adfa394817aee99f"/>
    <w:p>
      <w:pPr>
        <w:pStyle w:val="Heading3"/>
      </w:pPr>
      <w:r>
        <w:t xml:space="preserve">2. Can Jacobs sustain backlog quality?</w:t>
      </w:r>
    </w:p>
    <w:p>
      <w:pPr>
        <w:pStyle w:val="FirstParagraph"/>
      </w:pPr>
      <w:r>
        <w:t xml:space="preserve">Fiscal Q2 backlog reached a record</w:t>
      </w:r>
      <w:r>
        <w:t xml:space="preserve"> </w:t>
      </w:r>
      <w:r>
        <w:rPr>
          <w:b/>
          <w:bCs/>
        </w:rPr>
        <w:t xml:space="preserve">$27.0 billion</w:t>
      </w:r>
      <w:r>
        <w:t xml:space="preserve">, up 22% year over year. Trailing-12-month book-to-bill was 1.4 times on gross revenue and 1.2 times on adjusted net revenue.</w:t>
      </w:r>
    </w:p>
    <w:p>
      <w:pPr>
        <w:pStyle w:val="BodyText"/>
      </w:pPr>
      <w:r>
        <w:t xml:space="preserve">The distinction matters because gross revenue includes pass-through procurement with little or no markup. In Q2:</w:t>
      </w:r>
    </w:p>
    <w:p>
      <w:pPr>
        <w:pStyle w:val="Compact"/>
        <w:numPr>
          <w:ilvl w:val="0"/>
          <w:numId w:val="1005"/>
        </w:numPr>
      </w:pPr>
      <w:r>
        <w:t xml:space="preserve">Gross revenue rose 27%.</w:t>
      </w:r>
    </w:p>
    <w:p>
      <w:pPr>
        <w:pStyle w:val="Compact"/>
        <w:numPr>
          <w:ilvl w:val="0"/>
          <w:numId w:val="1005"/>
        </w:numPr>
      </w:pPr>
      <w:r>
        <w:t xml:space="preserve">Adjusted net revenue rose 9%.</w:t>
      </w:r>
    </w:p>
    <w:p>
      <w:pPr>
        <w:pStyle w:val="Compact"/>
        <w:numPr>
          <w:ilvl w:val="0"/>
          <w:numId w:val="1005"/>
        </w:numPr>
      </w:pPr>
      <w:r>
        <w:t xml:space="preserve">Net revenue in backlog increased 12%.</w:t>
      </w:r>
    </w:p>
    <w:p>
      <w:pPr>
        <w:pStyle w:val="Compact"/>
        <w:numPr>
          <w:ilvl w:val="0"/>
          <w:numId w:val="1005"/>
        </w:numPr>
      </w:pPr>
      <w:r>
        <w:t xml:space="preserve">Gross profit in backlog increased 15%.</w:t>
      </w:r>
    </w:p>
    <w:p>
      <w:pPr>
        <w:pStyle w:val="FirstParagraph"/>
      </w:pPr>
      <w:r>
        <w:t xml:space="preserve">The most constructive Q3 outcome would combine:</w:t>
      </w:r>
    </w:p>
    <w:p>
      <w:pPr>
        <w:pStyle w:val="Compact"/>
        <w:numPr>
          <w:ilvl w:val="0"/>
          <w:numId w:val="1006"/>
        </w:numPr>
      </w:pPr>
      <w:r>
        <w:t xml:space="preserve">Book-to-bill above 1.0 times</w:t>
      </w:r>
    </w:p>
    <w:p>
      <w:pPr>
        <w:pStyle w:val="Compact"/>
        <w:numPr>
          <w:ilvl w:val="0"/>
          <w:numId w:val="1006"/>
        </w:numPr>
      </w:pPr>
      <w:r>
        <w:t xml:space="preserve">Continued double-digit growth in net-revenue and gross-profit backlog</w:t>
      </w:r>
    </w:p>
    <w:p>
      <w:pPr>
        <w:pStyle w:val="Compact"/>
        <w:numPr>
          <w:ilvl w:val="0"/>
          <w:numId w:val="1006"/>
        </w:numPr>
      </w:pPr>
      <w:r>
        <w:t xml:space="preserve">Broad bookings across data centers, semiconductors, transportation, water and energy</w:t>
      </w:r>
    </w:p>
    <w:p>
      <w:pPr>
        <w:pStyle w:val="Compact"/>
        <w:numPr>
          <w:ilvl w:val="0"/>
          <w:numId w:val="1006"/>
        </w:numPr>
      </w:pPr>
      <w:r>
        <w:t xml:space="preserve">No meaningful project cancellations or deferrals</w:t>
      </w:r>
    </w:p>
    <w:p>
      <w:pPr>
        <w:pStyle w:val="FirstParagraph"/>
      </w:pPr>
      <w:r>
        <w:t xml:space="preserve">A large gross-revenue beat driven mainly by pass-through revenue would be less valuable than a smaller adjusted-net-revenue beat with better margins.</w:t>
      </w:r>
    </w:p>
    <w:bookmarkEnd w:id="13"/>
    <w:bookmarkStart w:id="14" w:name="X052511e34988bf02d86fd541b8d3cb21b329cb0"/>
    <w:p>
      <w:pPr>
        <w:pStyle w:val="Heading3"/>
      </w:pPr>
      <w:r>
        <w:t xml:space="preserve">3. The margin ramp is the key execution test</w:t>
      </w:r>
    </w:p>
    <w:p>
      <w:pPr>
        <w:pStyle w:val="FirstParagraph"/>
      </w:pPr>
      <w:r>
        <w:t xml:space="preserve">Q2 adjusted EBITDA margin was 14.1%. Management expects approximately 15% in Q3 and more than 16% in Q4.</w:t>
      </w:r>
    </w:p>
    <w:p>
      <w:pPr>
        <w:pStyle w:val="BodyText"/>
      </w:pPr>
      <w:r>
        <w:t xml:space="preserve">The improvement is expected to come from:</w:t>
      </w:r>
    </w:p>
    <w:p>
      <w:pPr>
        <w:pStyle w:val="Compact"/>
        <w:numPr>
          <w:ilvl w:val="0"/>
          <w:numId w:val="1007"/>
        </w:numPr>
      </w:pPr>
      <w:r>
        <w:t xml:space="preserve">Better project and end-market mix</w:t>
      </w:r>
    </w:p>
    <w:p>
      <w:pPr>
        <w:pStyle w:val="Compact"/>
        <w:numPr>
          <w:ilvl w:val="0"/>
          <w:numId w:val="1007"/>
        </w:numPr>
      </w:pPr>
      <w:r>
        <w:t xml:space="preserve">Greater use of lower-cost global delivery resources</w:t>
      </w:r>
    </w:p>
    <w:p>
      <w:pPr>
        <w:pStyle w:val="Compact"/>
        <w:numPr>
          <w:ilvl w:val="0"/>
          <w:numId w:val="1007"/>
        </w:numPr>
      </w:pPr>
      <w:r>
        <w:t xml:space="preserve">Commercial and pricing initiatives</w:t>
      </w:r>
    </w:p>
    <w:p>
      <w:pPr>
        <w:pStyle w:val="Compact"/>
        <w:numPr>
          <w:ilvl w:val="0"/>
          <w:numId w:val="1007"/>
        </w:numPr>
      </w:pPr>
      <w:r>
        <w:t xml:space="preserve">Operating leverage</w:t>
      </w:r>
    </w:p>
    <w:p>
      <w:pPr>
        <w:pStyle w:val="Compact"/>
        <w:numPr>
          <w:ilvl w:val="0"/>
          <w:numId w:val="1007"/>
        </w:numPr>
      </w:pPr>
      <w:r>
        <w:t xml:space="preserve">AI-enabled internal productivity</w:t>
      </w:r>
    </w:p>
    <w:p>
      <w:pPr>
        <w:pStyle w:val="Compact"/>
        <w:numPr>
          <w:ilvl w:val="0"/>
          <w:numId w:val="1007"/>
        </w:numPr>
      </w:pPr>
      <w:r>
        <w:t xml:space="preserve">Higher-margin PA Consulting revenue</w:t>
      </w:r>
    </w:p>
    <w:p>
      <w:pPr>
        <w:pStyle w:val="Compact"/>
        <w:numPr>
          <w:ilvl w:val="0"/>
          <w:numId w:val="1007"/>
        </w:numPr>
      </w:pPr>
      <w:r>
        <w:t xml:space="preserve">PA cost synergies</w:t>
      </w:r>
    </w:p>
    <w:p>
      <w:pPr>
        <w:pStyle w:val="FirstParagraph"/>
      </w:pPr>
      <w:r>
        <w:t xml:space="preserve">A Q3 margin around 15% would keep the plan intact. A result materially below 15% would raise questions about the credibility of the more difficult Q4 target. Conversely, a margin above 15%, accompanied by stable project execution, could support upside to full-year guidance.</w:t>
      </w:r>
    </w:p>
    <w:bookmarkEnd w:id="14"/>
    <w:bookmarkStart w:id="15" w:name="Xfb661ab1702550a610eb67640725e393b9304e8"/>
    <w:p>
      <w:pPr>
        <w:pStyle w:val="Heading3"/>
      </w:pPr>
      <w:r>
        <w:t xml:space="preserve">4. PA Consulting’s first full-quarter contribution</w:t>
      </w:r>
    </w:p>
    <w:p>
      <w:pPr>
        <w:pStyle w:val="FirstParagraph"/>
      </w:pPr>
      <w:r>
        <w:t xml:space="preserve">Jacobs completed the acquisition of the remaining PA Consulting stake on March 20. Fiscal Q3 should therefore provide the first clean look at a full quarter of complete ownership.</w:t>
      </w:r>
    </w:p>
    <w:p>
      <w:pPr>
        <w:pStyle w:val="BodyText"/>
      </w:pPr>
      <w:r>
        <w:t xml:space="preserve">PA performed well in Q2:</w:t>
      </w:r>
    </w:p>
    <w:p>
      <w:pPr>
        <w:pStyle w:val="Compact"/>
        <w:numPr>
          <w:ilvl w:val="0"/>
          <w:numId w:val="1008"/>
        </w:numPr>
      </w:pPr>
      <w:r>
        <w:t xml:space="preserve">Revenue increased 17% year over year.</w:t>
      </w:r>
    </w:p>
    <w:p>
      <w:pPr>
        <w:pStyle w:val="Compact"/>
        <w:numPr>
          <w:ilvl w:val="0"/>
          <w:numId w:val="1008"/>
        </w:numPr>
      </w:pPr>
      <w:r>
        <w:t xml:space="preserve">Operating margin was approximately 22%.</w:t>
      </w:r>
    </w:p>
    <w:p>
      <w:pPr>
        <w:pStyle w:val="Compact"/>
        <w:numPr>
          <w:ilvl w:val="0"/>
          <w:numId w:val="1008"/>
        </w:numPr>
      </w:pPr>
      <w:r>
        <w:t xml:space="preserve">Strength came from public services, defense and security.</w:t>
      </w:r>
    </w:p>
    <w:p>
      <w:pPr>
        <w:pStyle w:val="Compact"/>
        <w:numPr>
          <w:ilvl w:val="0"/>
          <w:numId w:val="1008"/>
        </w:numPr>
      </w:pPr>
      <w:r>
        <w:t xml:space="preserve">Management expected high-single-digit constant-currency revenue growth in the second half.</w:t>
      </w:r>
    </w:p>
    <w:p>
      <w:pPr>
        <w:pStyle w:val="FirstParagraph"/>
      </w:pPr>
      <w:r>
        <w:t xml:space="preserve">Jacobs also increased its expected annual cost synergies to at least</w:t>
      </w:r>
      <w:r>
        <w:t xml:space="preserve"> </w:t>
      </w:r>
      <w:r>
        <w:rPr>
          <w:b/>
          <w:bCs/>
        </w:rPr>
        <w:t xml:space="preserve">$20 million</w:t>
      </w:r>
      <w:r>
        <w:t xml:space="preserve">, centered on real estate, procurement and IT-system consolidation.</w:t>
      </w:r>
    </w:p>
    <w:p>
      <w:pPr>
        <w:pStyle w:val="BodyText"/>
      </w:pPr>
      <w:r>
        <w:t xml:space="preserve">Key questions include:</w:t>
      </w:r>
    </w:p>
    <w:p>
      <w:pPr>
        <w:pStyle w:val="Compact"/>
        <w:numPr>
          <w:ilvl w:val="0"/>
          <w:numId w:val="1009"/>
        </w:numPr>
      </w:pPr>
      <w:r>
        <w:t xml:space="preserve">Is PA sustaining high-single-digit or better organic growth?</w:t>
      </w:r>
    </w:p>
    <w:p>
      <w:pPr>
        <w:pStyle w:val="Compact"/>
        <w:numPr>
          <w:ilvl w:val="0"/>
          <w:numId w:val="1009"/>
        </w:numPr>
      </w:pPr>
      <w:r>
        <w:t xml:space="preserve">Are European defense and public-sector opportunities accelerating?</w:t>
      </w:r>
    </w:p>
    <w:p>
      <w:pPr>
        <w:pStyle w:val="Compact"/>
        <w:numPr>
          <w:ilvl w:val="0"/>
          <w:numId w:val="1009"/>
        </w:numPr>
      </w:pPr>
      <w:r>
        <w:t xml:space="preserve">Is full ownership generating cross-selling in U.S. transportation, energy and utilities?</w:t>
      </w:r>
    </w:p>
    <w:p>
      <w:pPr>
        <w:pStyle w:val="Compact"/>
        <w:numPr>
          <w:ilvl w:val="0"/>
          <w:numId w:val="1009"/>
        </w:numPr>
      </w:pPr>
      <w:r>
        <w:t xml:space="preserve">Are cost synergies arriving earlier than planned?</w:t>
      </w:r>
    </w:p>
    <w:p>
      <w:pPr>
        <w:pStyle w:val="Compact"/>
        <w:numPr>
          <w:ilvl w:val="0"/>
          <w:numId w:val="1009"/>
        </w:numPr>
      </w:pPr>
      <w:r>
        <w:t xml:space="preserve">Is employee retention stable following the transaction?</w:t>
      </w:r>
    </w:p>
    <w:p>
      <w:pPr>
        <w:pStyle w:val="FirstParagraph"/>
      </w:pPr>
      <w:r>
        <w:t xml:space="preserve">Q2’s unusually large gap between GAAP and adjusted results was driven by PA transaction and compensation charges. Management said that gap should become more normal beginning in Q3, making the quality of reported earnings another item to watch.</w:t>
      </w:r>
    </w:p>
    <w:bookmarkEnd w:id="15"/>
    <w:bookmarkStart w:id="16" w:name="Xce840eb0d3e9094aba2a7442409713b2f6c76f1"/>
    <w:p>
      <w:pPr>
        <w:pStyle w:val="Heading3"/>
      </w:pPr>
      <w:r>
        <w:t xml:space="preserve">5. Cash flow and leverage</w:t>
      </w:r>
    </w:p>
    <w:p>
      <w:pPr>
        <w:pStyle w:val="FirstParagraph"/>
      </w:pPr>
      <w:r>
        <w:t xml:space="preserve">Cash conversion is the biggest financial issue outside the income statement.</w:t>
      </w:r>
    </w:p>
    <w:p>
      <w:pPr>
        <w:pStyle w:val="BodyText"/>
      </w:pPr>
      <w:r>
        <w:t xml:space="preserve">First-half adjusted free cash flow was only</w:t>
      </w:r>
      <w:r>
        <w:t xml:space="preserve"> </w:t>
      </w:r>
      <m:oMath>
        <m:r>
          <m:t>93</m:t>
        </m:r>
        <m:r>
          <m:t>m</m:t>
        </m:r>
        <m:r>
          <m:t>i</m:t>
        </m:r>
        <m:r>
          <m:t>l</m:t>
        </m:r>
        <m:r>
          <m:t>l</m:t>
        </m:r>
        <m:r>
          <m:t>i</m:t>
        </m:r>
        <m:r>
          <m:t>o</m:t>
        </m:r>
        <m:r>
          <m:t>n</m:t>
        </m:r>
        <m:r>
          <m:rPr>
            <m:sty m:val="p"/>
          </m:rPr>
          <m:t>*</m:t>
        </m:r>
        <m:r>
          <m:rPr>
            <m:sty m:val="p"/>
          </m:rPr>
          <m:t>*</m:t>
        </m:r>
        <m:r>
          <m:rPr>
            <m:sty m:val="p"/>
          </m:rPr>
          <m:t>,</m:t>
        </m:r>
        <m:r>
          <m:t>b</m:t>
        </m:r>
        <m:r>
          <m:t>u</m:t>
        </m:r>
        <m:r>
          <m:t>t</m:t>
        </m:r>
        <m:r>
          <m:t>m</m:t>
        </m:r>
        <m:r>
          <m:t>a</m:t>
        </m:r>
        <m:r>
          <m:t>n</m:t>
        </m:r>
        <m:r>
          <m:t>a</m:t>
        </m:r>
        <m:r>
          <m:t>g</m:t>
        </m:r>
        <m:r>
          <m:t>e</m:t>
        </m:r>
        <m:r>
          <m:t>m</m:t>
        </m:r>
        <m:r>
          <m:t>e</m:t>
        </m:r>
        <m:r>
          <m:t>n</m:t>
        </m:r>
        <m:r>
          <m:t>t</m:t>
        </m:r>
        <m:r>
          <m:t>e</m:t>
        </m:r>
        <m:r>
          <m:t>x</m:t>
        </m:r>
        <m:r>
          <m:t>p</m:t>
        </m:r>
        <m:r>
          <m:t>e</m:t>
        </m:r>
        <m:r>
          <m:t>c</m:t>
        </m:r>
        <m:r>
          <m:t>t</m:t>
        </m:r>
        <m:r>
          <m:t>s</m:t>
        </m:r>
        <m:r>
          <m:t>m</m:t>
        </m:r>
        <m:r>
          <m:t>o</m:t>
        </m:r>
        <m:r>
          <m:t>r</m:t>
        </m:r>
        <m:r>
          <m:t>e</m:t>
        </m:r>
        <m:r>
          <m:t>t</m:t>
        </m:r>
        <m:r>
          <m:t>h</m:t>
        </m:r>
        <m:r>
          <m:t>a</m:t>
        </m:r>
        <m:r>
          <m:t>n</m:t>
        </m:r>
        <m:r>
          <m:rPr>
            <m:sty m:val="p"/>
          </m:rPr>
          <m:t>*</m:t>
        </m:r>
        <m:r>
          <m:rPr>
            <m:sty m:val="p"/>
          </m:rPr>
          <m:t>*</m:t>
        </m:r>
      </m:oMath>
      <w:r>
        <w:rPr>
          <w:b/>
          <w:bCs/>
        </w:rPr>
        <w:t xml:space="preserve">600–700 million</w:t>
      </w:r>
      <w:r>
        <w:t xml:space="preserve"> </w:t>
      </w:r>
      <w:r>
        <w:t xml:space="preserve">in the second half. Jacobs also expects:</w:t>
      </w:r>
    </w:p>
    <w:p>
      <w:pPr>
        <w:pStyle w:val="Compact"/>
        <w:numPr>
          <w:ilvl w:val="0"/>
          <w:numId w:val="1010"/>
        </w:numPr>
      </w:pPr>
      <w:r>
        <w:t xml:space="preserve">Net leverage to fall from</w:t>
      </w:r>
      <w:r>
        <w:t xml:space="preserve"> </w:t>
      </w:r>
      <w:r>
        <w:rPr>
          <w:b/>
          <w:bCs/>
        </w:rPr>
        <w:t xml:space="preserve">2.1 times</w:t>
      </w:r>
      <w:r>
        <w:t xml:space="preserve"> </w:t>
      </w:r>
      <w:r>
        <w:t xml:space="preserve">at Q2 to below 2.0 times by fiscal year-end</w:t>
      </w:r>
    </w:p>
    <w:p>
      <w:pPr>
        <w:pStyle w:val="Compact"/>
        <w:numPr>
          <w:ilvl w:val="0"/>
          <w:numId w:val="1010"/>
        </w:numPr>
      </w:pPr>
      <w:r>
        <w:t xml:space="preserve">Leverage to approach 1.5 times during fiscal 2027</w:t>
      </w:r>
    </w:p>
    <w:p>
      <w:pPr>
        <w:pStyle w:val="Compact"/>
        <w:numPr>
          <w:ilvl w:val="0"/>
          <w:numId w:val="1010"/>
        </w:numPr>
      </w:pPr>
      <w:r>
        <w:t xml:space="preserve">Continued share repurchases, though potentially moderated by market conditions</w:t>
      </w:r>
    </w:p>
    <w:p>
      <w:pPr>
        <w:pStyle w:val="FirstParagraph"/>
      </w:pPr>
      <w:r>
        <w:t xml:space="preserve">Q3 reported operating cash flow will include an approximately</w:t>
      </w:r>
      <w:r>
        <w:t xml:space="preserve"> </w:t>
      </w:r>
      <w:r>
        <w:rPr>
          <w:b/>
          <w:bCs/>
        </w:rPr>
        <w:t xml:space="preserve">$100–105 million</w:t>
      </w:r>
      <w:r>
        <w:t xml:space="preserve"> </w:t>
      </w:r>
      <w:r>
        <w:t xml:space="preserve">PA employee-benefit-trust payment. This was already included in the transaction consideration and should be separated from underlying cash generation.</w:t>
      </w:r>
    </w:p>
    <w:p>
      <w:pPr>
        <w:pStyle w:val="BodyText"/>
      </w:pPr>
      <w:r>
        <w:t xml:space="preserve">Investors should focus on:</w:t>
      </w:r>
    </w:p>
    <w:p>
      <w:pPr>
        <w:pStyle w:val="Compact"/>
        <w:numPr>
          <w:ilvl w:val="0"/>
          <w:numId w:val="1011"/>
        </w:numPr>
      </w:pPr>
      <w:r>
        <w:t xml:space="preserve">Adjusted free cash flow excluding this payment</w:t>
      </w:r>
    </w:p>
    <w:p>
      <w:pPr>
        <w:pStyle w:val="Compact"/>
        <w:numPr>
          <w:ilvl w:val="0"/>
          <w:numId w:val="1011"/>
        </w:numPr>
      </w:pPr>
      <w:r>
        <w:t xml:space="preserve">Receivables and contract-asset trends</w:t>
      </w:r>
    </w:p>
    <w:p>
      <w:pPr>
        <w:pStyle w:val="Compact"/>
        <w:numPr>
          <w:ilvl w:val="0"/>
          <w:numId w:val="1011"/>
        </w:numPr>
      </w:pPr>
      <w:r>
        <w:t xml:space="preserve">Progress reversing Q2 working-capital outflows</w:t>
      </w:r>
    </w:p>
    <w:p>
      <w:pPr>
        <w:pStyle w:val="Compact"/>
        <w:numPr>
          <w:ilvl w:val="0"/>
          <w:numId w:val="1011"/>
        </w:numPr>
      </w:pPr>
      <w:r>
        <w:t xml:space="preserve">Updated second-half cash guidance</w:t>
      </w:r>
    </w:p>
    <w:p>
      <w:pPr>
        <w:pStyle w:val="Compact"/>
        <w:numPr>
          <w:ilvl w:val="0"/>
          <w:numId w:val="1011"/>
        </w:numPr>
      </w:pPr>
      <w:r>
        <w:t xml:space="preserve">The balance between buybacks and debt reduction</w:t>
      </w:r>
    </w:p>
    <w:p>
      <w:pPr>
        <w:pStyle w:val="FirstParagraph"/>
      </w:pPr>
      <w:r>
        <w:t xml:space="preserve">Jacobs repurchased $472 million of stock in the first half. Further aggressive buybacks would signal confidence, but investors may prefer clear evidence that leverage and working capital are improving first.</w:t>
      </w:r>
    </w:p>
    <w:bookmarkEnd w:id="16"/>
    <w:bookmarkEnd w:id="17"/>
    <w:bookmarkStart w:id="18" w:name="end-market-scorecard"/>
    <w:p>
      <w:pPr>
        <w:pStyle w:val="Heading2"/>
      </w:pPr>
      <w:r>
        <w:t xml:space="preserve">End-market scorecard</w:t>
      </w:r>
    </w:p>
    <w:p>
      <w:pPr>
        <w:pStyle w:val="FirstParagraph"/>
      </w:pPr>
      <w:r>
        <w:t xml:space="preserve">The healthiest result would show broad-based growth rather than excessive reliance on data centers.</w:t>
      </w:r>
    </w:p>
    <w:p>
      <w:pPr>
        <w:pStyle w:val="Compact"/>
        <w:numPr>
          <w:ilvl w:val="0"/>
          <w:numId w:val="1012"/>
        </w:numPr>
      </w:pPr>
      <w:r>
        <w:rPr>
          <w:b/>
          <w:bCs/>
        </w:rPr>
        <w:t xml:space="preserve">Life sciences and advanced manufacturing:</w:t>
      </w:r>
      <w:r>
        <w:t xml:space="preserve"> </w:t>
      </w:r>
      <w:r>
        <w:t xml:space="preserve">Q2 adjusted net revenue grew 12%, and management expected faster second-half growth. Semiconductor and pharmaceutical reshoring should remain important.</w:t>
      </w:r>
    </w:p>
    <w:p>
      <w:pPr>
        <w:pStyle w:val="Compact"/>
        <w:numPr>
          <w:ilvl w:val="0"/>
          <w:numId w:val="1012"/>
        </w:numPr>
      </w:pPr>
      <w:r>
        <w:rPr>
          <w:b/>
          <w:bCs/>
        </w:rPr>
        <w:t xml:space="preserve">Critical infrastructure:</w:t>
      </w:r>
      <w:r>
        <w:t xml:space="preserve"> </w:t>
      </w:r>
      <w:r>
        <w:t xml:space="preserve">Q2 growth was 9%, led by rail, aviation, ports, and energy and power.</w:t>
      </w:r>
    </w:p>
    <w:p>
      <w:pPr>
        <w:pStyle w:val="Compact"/>
        <w:numPr>
          <w:ilvl w:val="0"/>
          <w:numId w:val="1012"/>
        </w:numPr>
      </w:pPr>
      <w:r>
        <w:rPr>
          <w:b/>
          <w:bCs/>
        </w:rPr>
        <w:t xml:space="preserve">Water and environmental:</w:t>
      </w:r>
      <w:r>
        <w:t xml:space="preserve"> </w:t>
      </w:r>
      <w:r>
        <w:t xml:space="preserve">Growth was only 2% as water strength was offset by environmental weakness. Management expected meaningful environmental improvement by Q4.</w:t>
      </w:r>
    </w:p>
    <w:p>
      <w:pPr>
        <w:pStyle w:val="Compact"/>
        <w:numPr>
          <w:ilvl w:val="0"/>
          <w:numId w:val="1012"/>
        </w:numPr>
      </w:pPr>
      <w:r>
        <w:rPr>
          <w:b/>
          <w:bCs/>
        </w:rPr>
        <w:t xml:space="preserve">PA Consulting:</w:t>
      </w:r>
      <w:r>
        <w:t xml:space="preserve"> </w:t>
      </w:r>
      <w:r>
        <w:t xml:space="preserve">Defense, security and European public spending remain the principal drivers.</w:t>
      </w:r>
    </w:p>
    <w:p>
      <w:pPr>
        <w:pStyle w:val="FirstParagraph"/>
      </w:pPr>
      <w:r>
        <w:t xml:space="preserve">Transportation and water provide useful diversification if AI-related project timing becomes more volatile.</w:t>
      </w:r>
    </w:p>
    <w:bookmarkEnd w:id="18"/>
    <w:bookmarkStart w:id="22" w:name="potential-outcomes"/>
    <w:p>
      <w:pPr>
        <w:pStyle w:val="Heading2"/>
      </w:pPr>
      <w:r>
        <w:t xml:space="preserve">Potential outcomes</w:t>
      </w:r>
    </w:p>
    <w:bookmarkStart w:id="19" w:name="bullish-report"/>
    <w:p>
      <w:pPr>
        <w:pStyle w:val="Heading3"/>
      </w:pPr>
      <w:r>
        <w:t xml:space="preserve">Bullish report</w:t>
      </w:r>
    </w:p>
    <w:p>
      <w:pPr>
        <w:pStyle w:val="Compact"/>
        <w:numPr>
          <w:ilvl w:val="0"/>
          <w:numId w:val="1013"/>
        </w:numPr>
      </w:pPr>
      <w:r>
        <w:t xml:space="preserve">Adjusted net revenue above approximately $2.40 billion</w:t>
      </w:r>
    </w:p>
    <w:p>
      <w:pPr>
        <w:pStyle w:val="Compact"/>
        <w:numPr>
          <w:ilvl w:val="0"/>
          <w:numId w:val="1013"/>
        </w:numPr>
      </w:pPr>
      <w:r>
        <w:t xml:space="preserve">EBITDA margin at or above 15%</w:t>
      </w:r>
    </w:p>
    <w:p>
      <w:pPr>
        <w:pStyle w:val="Compact"/>
        <w:numPr>
          <w:ilvl w:val="0"/>
          <w:numId w:val="1013"/>
        </w:numPr>
      </w:pPr>
      <w:r>
        <w:t xml:space="preserve">Book-to-bill comfortably above 1.0 times</w:t>
      </w:r>
    </w:p>
    <w:p>
      <w:pPr>
        <w:pStyle w:val="Compact"/>
        <w:numPr>
          <w:ilvl w:val="0"/>
          <w:numId w:val="1013"/>
        </w:numPr>
      </w:pPr>
      <w:r>
        <w:t xml:space="preserve">Strong conversion of data-center and semiconductor backlog</w:t>
      </w:r>
    </w:p>
    <w:p>
      <w:pPr>
        <w:pStyle w:val="Compact"/>
        <w:numPr>
          <w:ilvl w:val="0"/>
          <w:numId w:val="1013"/>
        </w:numPr>
      </w:pPr>
      <w:r>
        <w:t xml:space="preserve">PA Consulting maintains double-digit or strong high-single-digit growth</w:t>
      </w:r>
    </w:p>
    <w:p>
      <w:pPr>
        <w:pStyle w:val="Compact"/>
        <w:numPr>
          <w:ilvl w:val="0"/>
          <w:numId w:val="1013"/>
        </w:numPr>
      </w:pPr>
      <w:r>
        <w:t xml:space="preserve">Full-year guidance raised</w:t>
      </w:r>
    </w:p>
    <w:p>
      <w:pPr>
        <w:pStyle w:val="Compact"/>
        <w:numPr>
          <w:ilvl w:val="0"/>
          <w:numId w:val="1013"/>
        </w:numPr>
      </w:pPr>
      <w:r>
        <w:t xml:space="preserve">Management expresses high confidence in the greater-than-16% Q4 margin target</w:t>
      </w:r>
    </w:p>
    <w:p>
      <w:pPr>
        <w:pStyle w:val="Compact"/>
        <w:numPr>
          <w:ilvl w:val="0"/>
          <w:numId w:val="1013"/>
        </w:numPr>
      </w:pPr>
      <w:r>
        <w:t xml:space="preserve">Working capital and leverage improve as planned</w:t>
      </w:r>
    </w:p>
    <w:bookmarkEnd w:id="19"/>
    <w:bookmarkStart w:id="20" w:name="mixed-report"/>
    <w:p>
      <w:pPr>
        <w:pStyle w:val="Heading3"/>
      </w:pPr>
      <w:r>
        <w:t xml:space="preserve">Mixed report</w:t>
      </w:r>
    </w:p>
    <w:p>
      <w:pPr>
        <w:pStyle w:val="Compact"/>
        <w:numPr>
          <w:ilvl w:val="0"/>
          <w:numId w:val="1014"/>
        </w:numPr>
      </w:pPr>
      <w:r>
        <w:t xml:space="preserve">Q3 meets management’s targets, but full-year guidance is only reiterated</w:t>
      </w:r>
    </w:p>
    <w:p>
      <w:pPr>
        <w:pStyle w:val="Compact"/>
        <w:numPr>
          <w:ilvl w:val="0"/>
          <w:numId w:val="1014"/>
        </w:numPr>
      </w:pPr>
      <w:r>
        <w:t xml:space="preserve">Backlog remains strong, but bookings moderate sequentially</w:t>
      </w:r>
    </w:p>
    <w:p>
      <w:pPr>
        <w:pStyle w:val="Compact"/>
        <w:numPr>
          <w:ilvl w:val="0"/>
          <w:numId w:val="1014"/>
        </w:numPr>
      </w:pPr>
      <w:r>
        <w:t xml:space="preserve">Cash flow is difficult to assess because of transaction-related payments</w:t>
      </w:r>
    </w:p>
    <w:p>
      <w:pPr>
        <w:pStyle w:val="Compact"/>
        <w:numPr>
          <w:ilvl w:val="0"/>
          <w:numId w:val="1014"/>
        </w:numPr>
      </w:pPr>
      <w:r>
        <w:t xml:space="preserve">Management maintains Q4 targets without offering additional evidence behind the expected step-up</w:t>
      </w:r>
    </w:p>
    <w:p>
      <w:pPr>
        <w:pStyle w:val="FirstParagraph"/>
      </w:pPr>
      <w:r>
        <w:t xml:space="preserve">Given that the stock has recovered roughly 29% from its May low, a simple in-line quarter may not be enough for a positive reaction.</w:t>
      </w:r>
    </w:p>
    <w:bookmarkEnd w:id="20"/>
    <w:bookmarkStart w:id="21" w:name="bearish-report"/>
    <w:p>
      <w:pPr>
        <w:pStyle w:val="Heading3"/>
      </w:pPr>
      <w:r>
        <w:t xml:space="preserve">Bearish report</w:t>
      </w:r>
    </w:p>
    <w:p>
      <w:pPr>
        <w:pStyle w:val="Compact"/>
        <w:numPr>
          <w:ilvl w:val="0"/>
          <w:numId w:val="1015"/>
        </w:numPr>
      </w:pPr>
      <w:r>
        <w:t xml:space="preserve">Adjusted net revenue growth falls materially below 7.5%</w:t>
      </w:r>
    </w:p>
    <w:p>
      <w:pPr>
        <w:pStyle w:val="Compact"/>
        <w:numPr>
          <w:ilvl w:val="0"/>
          <w:numId w:val="1015"/>
        </w:numPr>
      </w:pPr>
      <w:r>
        <w:t xml:space="preserve">EBITDA margin misses 15%</w:t>
      </w:r>
    </w:p>
    <w:p>
      <w:pPr>
        <w:pStyle w:val="Compact"/>
        <w:numPr>
          <w:ilvl w:val="0"/>
          <w:numId w:val="1015"/>
        </w:numPr>
      </w:pPr>
      <w:r>
        <w:t xml:space="preserve">Net-revenue book-to-bill drops below 1.0 times</w:t>
      </w:r>
    </w:p>
    <w:p>
      <w:pPr>
        <w:pStyle w:val="Compact"/>
        <w:numPr>
          <w:ilvl w:val="0"/>
          <w:numId w:val="1015"/>
        </w:numPr>
      </w:pPr>
      <w:r>
        <w:t xml:space="preserve">Data-center projects are delayed by power, labor or customer-capital constraints</w:t>
      </w:r>
    </w:p>
    <w:p>
      <w:pPr>
        <w:pStyle w:val="Compact"/>
        <w:numPr>
          <w:ilvl w:val="0"/>
          <w:numId w:val="1015"/>
        </w:numPr>
      </w:pPr>
      <w:r>
        <w:t xml:space="preserve">PA Consulting slows sharply or integration costs increase</w:t>
      </w:r>
    </w:p>
    <w:p>
      <w:pPr>
        <w:pStyle w:val="Compact"/>
        <w:numPr>
          <w:ilvl w:val="0"/>
          <w:numId w:val="1015"/>
        </w:numPr>
      </w:pPr>
      <w:r>
        <w:t xml:space="preserve">Full-year guidance is narrowed downward</w:t>
      </w:r>
    </w:p>
    <w:p>
      <w:pPr>
        <w:pStyle w:val="Compact"/>
        <w:numPr>
          <w:ilvl w:val="0"/>
          <w:numId w:val="1015"/>
        </w:numPr>
      </w:pPr>
      <w:r>
        <w:t xml:space="preserve">The Q4 margin target is reduced</w:t>
      </w:r>
    </w:p>
    <w:p>
      <w:pPr>
        <w:pStyle w:val="Compact"/>
        <w:numPr>
          <w:ilvl w:val="0"/>
          <w:numId w:val="1015"/>
        </w:numPr>
      </w:pPr>
      <w:r>
        <w:t xml:space="preserve">Second-half cash-flow or deleveraging expectations are pushed out</w:t>
      </w:r>
    </w:p>
    <w:bookmarkEnd w:id="21"/>
    <w:bookmarkEnd w:id="22"/>
    <w:bookmarkStart w:id="23" w:name="bottom-line"/>
    <w:p>
      <w:pPr>
        <w:pStyle w:val="Heading2"/>
      </w:pPr>
      <w:r>
        <w:t xml:space="preserve">Bottom line</w:t>
      </w:r>
    </w:p>
    <w:p>
      <w:pPr>
        <w:pStyle w:val="FirstParagraph"/>
      </w:pPr>
      <w:r>
        <w:t xml:space="preserve">Jacobs appears positioned to deliver a solid Q3, supported by record backlog, AI-infrastructure spending, transportation demand and PA Consulting. The more important issue is the</w:t>
      </w:r>
      <w:r>
        <w:t xml:space="preserve"> </w:t>
      </w:r>
      <w:r>
        <w:rPr>
          <w:b/>
          <w:bCs/>
        </w:rPr>
        <w:t xml:space="preserve">shape of the second-half earnings ramp</w:t>
      </w:r>
      <w:r>
        <w:t xml:space="preserve">.</w:t>
      </w:r>
    </w:p>
    <w:p>
      <w:pPr>
        <w:pStyle w:val="BodyText"/>
      </w:pPr>
      <w:r>
        <w:t xml:space="preserve">The cleanest positive signal would be a result at or above approximately</w:t>
      </w:r>
      <w:r>
        <w:t xml:space="preserve"> </w:t>
      </w:r>
      <w:r>
        <w:rPr>
          <w:b/>
          <w:bCs/>
        </w:rPr>
        <w:t xml:space="preserve">$2.40 billion of adjusted net revenue and $360 million of adjusted EBITDA</w:t>
      </w:r>
      <w:r>
        <w:t xml:space="preserve">, combined with strong bookings, improved cash conversion and an explicit reaffirmation—or increase—of full-year guidance.</w:t>
      </w:r>
    </w:p>
    <w:p>
      <w:pPr>
        <w:pStyle w:val="BodyText"/>
      </w:pPr>
      <w:r>
        <w:t xml:space="preserve">The principal risk is that Q3 looks fine in isolation while leaving too much revenue growth, margin expansion and cash generation dependent on Q4. For the shares to respond sustainably, management likely needs to demonstrate that the greater-than-16% Q4 margin target is supported by visible project execution rather than seasonality and an extra fiscal week alone.</w:t>
      </w:r>
    </w:p>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2026-08-04T01:28:58Z</dcterms:created>
  <dcterms:modified xsi:type="dcterms:W3CDTF">2026-08-04T01:28:58Z</dcterms:modified>
</cp:coreProperties>
</file>

<file path=docProps/custom.xml><?xml version="1.0" encoding="utf-8"?>
<Properties xmlns="http://schemas.openxmlformats.org/officeDocument/2006/custom-properties" xmlns:vt="http://schemas.openxmlformats.org/officeDocument/2006/docPropsVTypes"/>
</file>