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5104a5d4f375ff802c06f191de89468baf9f98"/>
    <w:p>
      <w:pPr>
        <w:pStyle w:val="Heading1"/>
      </w:pPr>
      <w:r>
        <w:t xml:space="preserve">Jacobs Solutions (NYSE: J) — Fiscal Q3 2026 Earnings Preview</w:t>
      </w:r>
    </w:p>
    <w:p>
      <w:pPr>
        <w:pStyle w:val="BlockText"/>
      </w:pPr>
      <w:r>
        <w:rPr>
          <w:b/>
          <w:bCs/>
        </w:rPr>
        <w:t xml:space="preserve">Timing correction:</w:t>
      </w:r>
      <w:r>
        <w:t xml:space="preserve"> </w:t>
      </w:r>
      <w:r>
        <w:t xml:space="preserve">Jacobs is scheduled to report</w:t>
      </w:r>
      <w:r>
        <w:t xml:space="preserve"> </w:t>
      </w:r>
      <w:r>
        <w:rPr>
          <w:b/>
          <w:bCs/>
        </w:rPr>
        <w:t xml:space="preserve">after the market close today, Tuesday, August 4, 2026</w:t>
      </w:r>
      <w:r>
        <w:t xml:space="preserve">, followed by its earnings call at</w:t>
      </w:r>
      <w:r>
        <w:t xml:space="preserve"> </w:t>
      </w:r>
      <w:r>
        <w:rPr>
          <w:b/>
          <w:bCs/>
        </w:rPr>
        <w:t xml:space="preserve">4:30 p.m. ET</w:t>
      </w:r>
      <w:r>
        <w:t xml:space="preserve">—not tomorrow. This is the company’s</w:t>
      </w:r>
      <w:r>
        <w:t xml:space="preserve"> </w:t>
      </w:r>
      <w:r>
        <w:rPr>
          <w:b/>
          <w:bCs/>
        </w:rPr>
        <w:t xml:space="preserve">fiscal Q3 2026</w:t>
      </w:r>
      <w:r>
        <w:t xml:space="preserve"> </w:t>
      </w:r>
      <w:r>
        <w:t xml:space="preserve">report.</w:t>
      </w:r>
    </w:p>
    <w:bookmarkStart w:id="9" w:name="investment-setup"/>
    <w:p>
      <w:pPr>
        <w:pStyle w:val="Heading2"/>
      </w:pPr>
      <w:r>
        <w:t xml:space="preserve">Investment setup</w:t>
      </w:r>
    </w:p>
    <w:p>
      <w:pPr>
        <w:pStyle w:val="FirstParagraph"/>
      </w:pPr>
      <w:r>
        <w:t xml:space="preserve">Jacobs enters fiscal Q3 with a strong operating backdrop and a relatively demanding self-set bar. In fiscal Q2, the company delivered</w:t>
      </w:r>
      <w:r>
        <w:t xml:space="preserve"> </w:t>
      </w:r>
      <w:r>
        <w:rPr>
          <w:b/>
          <w:bCs/>
        </w:rPr>
        <w:t xml:space="preserve">9% adjusted net revenue growth</w:t>
      </w:r>
      <w:r>
        <w:t xml:space="preserve">,</w:t>
      </w:r>
      <w:r>
        <w:t xml:space="preserve"> </w:t>
      </w:r>
      <w:r>
        <w:rPr>
          <w:b/>
          <w:bCs/>
        </w:rPr>
        <w:t xml:space="preserve">14% adjusted EBITDA growth</w:t>
      </w:r>
      <w:r>
        <w:t xml:space="preserve">,</w:t>
      </w:r>
      <w:r>
        <w:t xml:space="preserve"> </w:t>
      </w:r>
      <w:r>
        <w:rPr>
          <w:b/>
          <w:bCs/>
        </w:rPr>
        <w:t xml:space="preserve">70 bp of EBITDA-margin expansion</w:t>
      </w:r>
      <w:r>
        <w:t xml:space="preserve">,</w:t>
      </w:r>
      <w:r>
        <w:t xml:space="preserve"> </w:t>
      </w:r>
      <w:r>
        <w:rPr>
          <w:b/>
          <w:bCs/>
        </w:rPr>
        <w:t xml:space="preserve">22% adjusted EPS growth</w:t>
      </w:r>
      <w:r>
        <w:t xml:space="preserve">, and record</w:t>
      </w:r>
      <w:r>
        <w:t xml:space="preserve"> </w:t>
      </w:r>
      <w:r>
        <w:rPr>
          <w:b/>
          <w:bCs/>
        </w:rPr>
        <w:t xml:space="preserve">$27.0 billion backlog</w:t>
      </w:r>
      <w:r>
        <w:t xml:space="preserve">. Management then raised FY2026 guidance for the second consecutive quarter.</w:t>
      </w:r>
    </w:p>
    <w:p>
      <w:pPr>
        <w:pStyle w:val="BodyText"/>
      </w:pPr>
      <w:r>
        <w:t xml:space="preserve">The key issue for this report is therefore less whether Jacobs can post solid growth, and more whether it can</w:t>
      </w:r>
      <w:r>
        <w:t xml:space="preserve"> </w:t>
      </w:r>
      <w:r>
        <w:rPr>
          <w:b/>
          <w:bCs/>
        </w:rPr>
        <w:t xml:space="preserve">validate the acceleration embedded in second-half guidance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Q3 adjusted net revenue growth was guided to approximately</w:t>
      </w:r>
      <w:r>
        <w:t xml:space="preserve"> </w:t>
      </w:r>
      <w:r>
        <w:rPr>
          <w:b/>
          <w:bCs/>
        </w:rPr>
        <w:t xml:space="preserve">7.5% y/y</w:t>
      </w:r>
    </w:p>
    <w:p>
      <w:pPr>
        <w:pStyle w:val="Compact"/>
        <w:numPr>
          <w:ilvl w:val="0"/>
          <w:numId w:val="1001"/>
        </w:numPr>
      </w:pPr>
      <w:r>
        <w:t xml:space="preserve">Q3 adjusted EBITDA margin was guided to approximately</w:t>
      </w:r>
      <w:r>
        <w:t xml:space="preserve"> </w:t>
      </w:r>
      <w:r>
        <w:rPr>
          <w:b/>
          <w:bCs/>
        </w:rPr>
        <w:t xml:space="preserve">15%</w:t>
      </w:r>
    </w:p>
    <w:p>
      <w:pPr>
        <w:pStyle w:val="Compact"/>
        <w:numPr>
          <w:ilvl w:val="0"/>
          <w:numId w:val="1001"/>
        </w:numPr>
      </w:pPr>
      <w:r>
        <w:t xml:space="preserve">FY2026 adjusted net revenue growth guidance is</w:t>
      </w:r>
      <w:r>
        <w:t xml:space="preserve"> </w:t>
      </w:r>
      <w:r>
        <w:rPr>
          <w:b/>
          <w:bCs/>
        </w:rPr>
        <w:t xml:space="preserve">8.0%–10.5%</w:t>
      </w:r>
    </w:p>
    <w:p>
      <w:pPr>
        <w:pStyle w:val="Compact"/>
        <w:numPr>
          <w:ilvl w:val="0"/>
          <w:numId w:val="1001"/>
        </w:numPr>
      </w:pPr>
      <w:r>
        <w:t xml:space="preserve">FY2026 adjusted EBITDA margin guidance is</w:t>
      </w:r>
      <w:r>
        <w:t xml:space="preserve"> </w:t>
      </w:r>
      <w:r>
        <w:rPr>
          <w:b/>
          <w:bCs/>
        </w:rPr>
        <w:t xml:space="preserve">14.6%–14.9%</w:t>
      </w:r>
    </w:p>
    <w:p>
      <w:pPr>
        <w:pStyle w:val="Compact"/>
        <w:numPr>
          <w:ilvl w:val="0"/>
          <w:numId w:val="1001"/>
        </w:numPr>
      </w:pPr>
      <w:r>
        <w:t xml:space="preserve">FY2026 adjusted EPS guidance is</w:t>
      </w:r>
      <w:r>
        <w:t xml:space="preserve"> </w:t>
      </w:r>
      <m:oMath>
        <m:r>
          <m:t>7.10</m:t>
        </m:r>
        <m:r>
          <m:rPr>
            <m:sty m:val="p"/>
          </m:rPr>
          <m:t>–</m:t>
        </m:r>
      </m:oMath>
      <w:r>
        <w:rPr>
          <w:b/>
          <w:bCs/>
        </w:rPr>
        <w:t xml:space="preserve">7.35</w:t>
      </w:r>
    </w:p>
    <w:p>
      <w:pPr>
        <w:pStyle w:val="Compact"/>
        <w:numPr>
          <w:ilvl w:val="0"/>
          <w:numId w:val="1001"/>
        </w:numPr>
      </w:pPr>
      <w:r>
        <w:t xml:space="preserve">FY2026 adjusted free-cash-flow margin guidance is</w:t>
      </w:r>
      <w:r>
        <w:t xml:space="preserve"> </w:t>
      </w:r>
      <w:r>
        <w:rPr>
          <w:b/>
          <w:bCs/>
        </w:rPr>
        <w:t xml:space="preserve">7.0%–8.5%</w:t>
      </w:r>
    </w:p>
    <w:p>
      <w:pPr>
        <w:pStyle w:val="FirstParagraph"/>
      </w:pPr>
      <w:r>
        <w:t xml:space="preserve">The quarter is also the first meaningful post-close test of the full acquisition of</w:t>
      </w:r>
      <w:r>
        <w:t xml:space="preserve"> </w:t>
      </w:r>
      <w:r>
        <w:rPr>
          <w:b/>
          <w:bCs/>
        </w:rPr>
        <w:t xml:space="preserve">PA Consulting</w:t>
      </w:r>
      <w:r>
        <w:t xml:space="preserve">, which completed in March. Investors will be looking for evidence that the transaction is supporting growth and margins without impairing cash conversion or slowing deleveraging.</w:t>
      </w:r>
    </w:p>
    <w:p>
      <w:r>
        <w:pict>
          <v:rect style="width:0;height:1.5pt" o:hralign="center" o:hrstd="t" o:hr="t"/>
        </w:pict>
      </w:r>
    </w:p>
    <w:bookmarkEnd w:id="9"/>
    <w:bookmarkStart w:id="15" w:name="what-matters-most-this-quarter"/>
    <w:p>
      <w:pPr>
        <w:pStyle w:val="Heading2"/>
      </w:pPr>
      <w:r>
        <w:t xml:space="preserve">What matters most this quarter</w:t>
      </w:r>
    </w:p>
    <w:bookmarkStart w:id="10" w:name="X0ec56a0fae83e2de202cb2d59791833fa065529"/>
    <w:p>
      <w:pPr>
        <w:pStyle w:val="Heading3"/>
      </w:pPr>
      <w:r>
        <w:t xml:space="preserve">1. Delivery against the Q3 margin guide</w:t>
      </w:r>
    </w:p>
    <w:p>
      <w:pPr>
        <w:pStyle w:val="FirstParagraph"/>
      </w:pPr>
      <w:r>
        <w:t xml:space="preserve">Management’s explicit Q3 outlook calls for an approximately</w:t>
      </w:r>
      <w:r>
        <w:t xml:space="preserve"> </w:t>
      </w:r>
      <w:r>
        <w:rPr>
          <w:b/>
          <w:bCs/>
        </w:rPr>
        <w:t xml:space="preserve">15% adjusted EBITDA margin</w:t>
      </w:r>
      <w:r>
        <w:t xml:space="preserve">, up meaningfully from the</w:t>
      </w:r>
      <w:r>
        <w:t xml:space="preserve"> </w:t>
      </w:r>
      <w:r>
        <w:rPr>
          <w:b/>
          <w:bCs/>
        </w:rPr>
        <w:t xml:space="preserve">14.1%</w:t>
      </w:r>
      <w:r>
        <w:t xml:space="preserve"> </w:t>
      </w:r>
      <w:r>
        <w:t xml:space="preserve">delivered in Q2. That is the most important near-term financial checkpoint.</w:t>
      </w:r>
    </w:p>
    <w:p>
      <w:pPr>
        <w:pStyle w:val="BodyText"/>
      </w:pPr>
      <w:r>
        <w:t xml:space="preserve">The larger implication is the trajectory into Q4: management previously indicated its FY2026 plan implies a</w:t>
      </w:r>
      <w:r>
        <w:t xml:space="preserve"> </w:t>
      </w:r>
      <w:r>
        <w:rPr>
          <w:b/>
          <w:bCs/>
        </w:rPr>
        <w:t xml:space="preserve">16%+ EBITDA margin in Q4</w:t>
      </w:r>
      <w:r>
        <w:t xml:space="preserve">, alongside double-digit top-line growth that benefits from an extra fiscal week. A clean Q3 margin performance would reinforce confidence that Jacobs’ longer-term target of</w:t>
      </w:r>
      <w:r>
        <w:t xml:space="preserve"> </w:t>
      </w:r>
      <w:r>
        <w:rPr>
          <w:b/>
          <w:bCs/>
        </w:rPr>
        <w:t xml:space="preserve">17%+ EBITDA margin by FY2029</w:t>
      </w:r>
      <w:r>
        <w:t xml:space="preserve"> </w:t>
      </w:r>
      <w:r>
        <w:t xml:space="preserve">is achievable.</w:t>
      </w:r>
    </w:p>
    <w:p>
      <w:pPr>
        <w:pStyle w:val="BodyText"/>
      </w:pPr>
      <w:r>
        <w:rPr>
          <w:b/>
          <w:bCs/>
        </w:rPr>
        <w:t xml:space="preserve">What investors should watch</w:t>
      </w:r>
    </w:p>
    <w:p>
      <w:pPr>
        <w:pStyle w:val="Compact"/>
        <w:numPr>
          <w:ilvl w:val="0"/>
          <w:numId w:val="1002"/>
        </w:numPr>
      </w:pPr>
      <w:r>
        <w:t xml:space="preserve">I&amp;AF operating-margin progression, especially as higher-growth advanced-manufacturing work ramps.</w:t>
      </w:r>
    </w:p>
    <w:p>
      <w:pPr>
        <w:pStyle w:val="Compact"/>
        <w:numPr>
          <w:ilvl w:val="0"/>
          <w:numId w:val="1002"/>
        </w:numPr>
      </w:pPr>
      <w:r>
        <w:t xml:space="preserve">PA Consulting’s margin and whether its high-margin mix is accretive as expected.</w:t>
      </w:r>
    </w:p>
    <w:p>
      <w:pPr>
        <w:pStyle w:val="Compact"/>
        <w:numPr>
          <w:ilvl w:val="0"/>
          <w:numId w:val="1002"/>
        </w:numPr>
      </w:pPr>
      <w:r>
        <w:t xml:space="preserve">Evidence that global delivery, commercial discipline, AI-enabled productivity, and lower overhead growth are translating into realized—not just targeted—margin expansion.</w:t>
      </w:r>
    </w:p>
    <w:bookmarkEnd w:id="10"/>
    <w:bookmarkStart w:id="11" w:name="X835129e174151eecc5ef031b5103adb480c01f2"/>
    <w:p>
      <w:pPr>
        <w:pStyle w:val="Heading3"/>
      </w:pPr>
      <w:r>
        <w:t xml:space="preserve">2. AI-infrastructure exposure: real revenue conversion, not only pipeline commentary</w:t>
      </w:r>
    </w:p>
    <w:p>
      <w:pPr>
        <w:pStyle w:val="FirstParagraph"/>
      </w:pPr>
      <w:r>
        <w:t xml:space="preserve">Jacobs’ central equity narrative is its position in the AI-infrastructure buildout. At Q2, management said:</w:t>
      </w:r>
    </w:p>
    <w:p>
      <w:pPr>
        <w:pStyle w:val="Compact"/>
        <w:numPr>
          <w:ilvl w:val="0"/>
          <w:numId w:val="1003"/>
        </w:numPr>
      </w:pPr>
      <w:r>
        <w:t xml:space="preserve">Data-center revenue grew</w:t>
      </w:r>
      <w:r>
        <w:t xml:space="preserve"> </w:t>
      </w:r>
      <w:r>
        <w:rPr>
          <w:b/>
          <w:bCs/>
        </w:rPr>
        <w:t xml:space="preserve">more than 100% y/y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Data centers represented roughly</w:t>
      </w:r>
      <w:r>
        <w:t xml:space="preserve"> </w:t>
      </w:r>
      <w:r>
        <w:rPr>
          <w:b/>
          <w:bCs/>
        </w:rPr>
        <w:t xml:space="preserve">3%–4%</w:t>
      </w:r>
      <w:r>
        <w:t xml:space="preserve"> </w:t>
      </w:r>
      <w:r>
        <w:t xml:space="preserve">of total business;</w:t>
      </w:r>
    </w:p>
    <w:p>
      <w:pPr>
        <w:pStyle w:val="Compact"/>
        <w:numPr>
          <w:ilvl w:val="0"/>
          <w:numId w:val="1003"/>
        </w:numPr>
      </w:pPr>
      <w:r>
        <w:t xml:space="preserve">The broader AI ecosystem—including semiconductors, power and energy, and data centers—represented approximately</w:t>
      </w:r>
      <w:r>
        <w:t xml:space="preserve"> </w:t>
      </w:r>
      <w:r>
        <w:rPr>
          <w:b/>
          <w:bCs/>
        </w:rPr>
        <w:t xml:space="preserve">10%–11%</w:t>
      </w:r>
      <w:r>
        <w:t xml:space="preserve"> </w:t>
      </w:r>
      <w:r>
        <w:t xml:space="preserve">of the business and was growing</w:t>
      </w:r>
      <w:r>
        <w:t xml:space="preserve"> </w:t>
      </w:r>
      <w:r>
        <w:rPr>
          <w:b/>
          <w:bCs/>
        </w:rPr>
        <w:t xml:space="preserve">more than 40%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The data-center pipeline was up</w:t>
      </w:r>
      <w:r>
        <w:t xml:space="preserve"> </w:t>
      </w:r>
      <w:r>
        <w:rPr>
          <w:b/>
          <w:bCs/>
        </w:rPr>
        <w:t xml:space="preserve">400% y/y</w:t>
      </w:r>
      <w:r>
        <w:t xml:space="preserve">, with visibility extending through fiscal 2027 and into fiscal 2028.</w:t>
      </w:r>
    </w:p>
    <w:p>
      <w:pPr>
        <w:pStyle w:val="FirstParagraph"/>
      </w:pPr>
      <w:r>
        <w:t xml:space="preserve">The quarter should clarify whether this opportunity is continuing to move from pipeline and awards into revenue at the pace needed to support the second-half and FY2027 outlook.</w:t>
      </w:r>
    </w:p>
    <w:p>
      <w:pPr>
        <w:pStyle w:val="BodyText"/>
      </w:pPr>
      <w:r>
        <w:rPr>
          <w:b/>
          <w:bCs/>
        </w:rPr>
        <w:t xml:space="preserve">Positive read-through:</w:t>
      </w:r>
      <w:r>
        <w:t xml:space="preserve"> </w:t>
      </w:r>
      <w:r>
        <w:t xml:space="preserve">Continued triple-digit data-center growth, improving conversion in semiconductors and power, and another strong bookings quarter.</w:t>
      </w:r>
    </w:p>
    <w:p>
      <w:pPr>
        <w:pStyle w:val="BodyText"/>
      </w:pPr>
      <w:r>
        <w:rPr>
          <w:b/>
          <w:bCs/>
        </w:rPr>
        <w:t xml:space="preserve">Risk:</w:t>
      </w:r>
      <w:r>
        <w:t xml:space="preserve"> </w:t>
      </w:r>
      <w:r>
        <w:t xml:space="preserve">Investors may react poorly if management reaffirms the opportunity qualitatively but offers weaker near-term growth, backlog, or conversion metrics.</w:t>
      </w:r>
    </w:p>
    <w:bookmarkEnd w:id="11"/>
    <w:bookmarkStart w:id="12" w:name="Xe5ee622fa965f13fc7e77bd2f48dd362c44300a"/>
    <w:p>
      <w:pPr>
        <w:pStyle w:val="Heading3"/>
      </w:pPr>
      <w:r>
        <w:t xml:space="preserve">3. Backlog and book-to-bill: the clearest signal on durability</w:t>
      </w:r>
    </w:p>
    <w:p>
      <w:pPr>
        <w:pStyle w:val="FirstParagraph"/>
      </w:pPr>
      <w:r>
        <w:t xml:space="preserve">Backlog reached a record</w:t>
      </w:r>
      <w:r>
        <w:t xml:space="preserve"> </w:t>
      </w:r>
      <w:r>
        <w:rPr>
          <w:b/>
          <w:bCs/>
        </w:rPr>
        <w:t xml:space="preserve">$27.0 billion</w:t>
      </w:r>
      <w:r>
        <w:t xml:space="preserve"> </w:t>
      </w:r>
      <w:r>
        <w:t xml:space="preserve">in Q2, up</w:t>
      </w:r>
      <w:r>
        <w:t xml:space="preserve"> </w:t>
      </w:r>
      <w:r>
        <w:rPr>
          <w:b/>
          <w:bCs/>
        </w:rPr>
        <w:t xml:space="preserve">22% y/y</w:t>
      </w:r>
      <w:r>
        <w:t xml:space="preserve">, while trailing-12-month gross and adjusted-net-revenue book-to-bill were</w:t>
      </w:r>
      <w:r>
        <w:t xml:space="preserve"> </w:t>
      </w:r>
      <w:r>
        <w:rPr>
          <w:b/>
          <w:bCs/>
        </w:rPr>
        <w:t xml:space="preserve">1.4x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1.2x</w:t>
      </w:r>
      <w:r>
        <w:t xml:space="preserve">, respectively. Q2 book-to-bill was also</w:t>
      </w:r>
      <w:r>
        <w:t xml:space="preserve"> </w:t>
      </w:r>
      <w:r>
        <w:rPr>
          <w:b/>
          <w:bCs/>
        </w:rPr>
        <w:t xml:space="preserve">1.2x</w:t>
      </w:r>
      <w:r>
        <w:t xml:space="preserve"> </w:t>
      </w:r>
      <w:r>
        <w:t xml:space="preserve">on both measures.</w:t>
      </w:r>
    </w:p>
    <w:p>
      <w:pPr>
        <w:pStyle w:val="BodyText"/>
      </w:pPr>
      <w:r>
        <w:t xml:space="preserve">For a project-driven engineering and consulting company, bookings are particularly important because they determine the visibility of future revenue growth. The ideal result would be another book-to-bill above 1.0x, with broad-based strength across:</w:t>
      </w:r>
    </w:p>
    <w:p>
      <w:pPr>
        <w:pStyle w:val="Compact"/>
        <w:numPr>
          <w:ilvl w:val="0"/>
          <w:numId w:val="1004"/>
        </w:numPr>
      </w:pPr>
      <w:r>
        <w:t xml:space="preserve">Data centers and advanced manufacturing;</w:t>
      </w:r>
    </w:p>
    <w:p>
      <w:pPr>
        <w:pStyle w:val="Compact"/>
        <w:numPr>
          <w:ilvl w:val="0"/>
          <w:numId w:val="1004"/>
        </w:numPr>
      </w:pPr>
      <w:r>
        <w:t xml:space="preserve">Semiconductors;</w:t>
      </w:r>
    </w:p>
    <w:p>
      <w:pPr>
        <w:pStyle w:val="Compact"/>
        <w:numPr>
          <w:ilvl w:val="0"/>
          <w:numId w:val="1004"/>
        </w:numPr>
      </w:pPr>
      <w:r>
        <w:t xml:space="preserve">Energy and power, especially transmission and distribution;</w:t>
      </w:r>
    </w:p>
    <w:p>
      <w:pPr>
        <w:pStyle w:val="Compact"/>
        <w:numPr>
          <w:ilvl w:val="0"/>
          <w:numId w:val="1004"/>
        </w:numPr>
      </w:pPr>
      <w:r>
        <w:t xml:space="preserve">Water infrastructure;</w:t>
      </w:r>
    </w:p>
    <w:p>
      <w:pPr>
        <w:pStyle w:val="Compact"/>
        <w:numPr>
          <w:ilvl w:val="0"/>
          <w:numId w:val="1004"/>
        </w:numPr>
      </w:pPr>
      <w:r>
        <w:t xml:space="preserve">Aviation, rail, ports, and broader transportation;</w:t>
      </w:r>
    </w:p>
    <w:p>
      <w:pPr>
        <w:pStyle w:val="Compact"/>
        <w:numPr>
          <w:ilvl w:val="0"/>
          <w:numId w:val="1004"/>
        </w:numPr>
      </w:pPr>
      <w:r>
        <w:t xml:space="preserve">PA Consulting’s public-sector, digital, defense, and European opportunities.</w:t>
      </w:r>
    </w:p>
    <w:p>
      <w:pPr>
        <w:pStyle w:val="FirstParagraph"/>
      </w:pPr>
      <w:r>
        <w:t xml:space="preserve">A backlog result that merely holds flat would not necessarily be alarming given the company’s elevated base, but a material deterioration in book-to-bill could challenge the narrative that the investment cycle remains early.</w:t>
      </w:r>
    </w:p>
    <w:bookmarkEnd w:id="12"/>
    <w:bookmarkStart w:id="13" w:name="X3eb696e984e855e639e2bc7a0e50afe232405ff"/>
    <w:p>
      <w:pPr>
        <w:pStyle w:val="Heading3"/>
      </w:pPr>
      <w:r>
        <w:t xml:space="preserve">4. PA Consulting: synergy realization and balance-sheet discipline</w:t>
      </w:r>
    </w:p>
    <w:p>
      <w:pPr>
        <w:pStyle w:val="FirstParagraph"/>
      </w:pPr>
      <w:r>
        <w:t xml:space="preserve">Jacobs completed the purchase of the remaining PA Consulting stake during Q2 and increased its expected run-rate cost-synergy target to at least</w:t>
      </w:r>
      <w:r>
        <w:t xml:space="preserve"> </w:t>
      </w:r>
      <w:r>
        <w:rPr>
          <w:b/>
          <w:bCs/>
        </w:rPr>
        <w:t xml:space="preserve">$20 million within 24 months</w:t>
      </w:r>
      <w:r>
        <w:t xml:space="preserve">. Management previously highlighted real estate consolidation, vendor rationalization, and IT optimization as identified sources of savings.</w:t>
      </w:r>
    </w:p>
    <w:p>
      <w:pPr>
        <w:pStyle w:val="BodyText"/>
      </w:pPr>
      <w:r>
        <w:t xml:space="preserve">The acquisition has also increased leverage. Net leverage ended Q2 at</w:t>
      </w:r>
      <w:r>
        <w:t xml:space="preserve"> </w:t>
      </w:r>
      <w:r>
        <w:rPr>
          <w:b/>
          <w:bCs/>
        </w:rPr>
        <w:t xml:space="preserve">2.1x</w:t>
      </w:r>
      <w:r>
        <w:t xml:space="preserve">, above Jacobs’ typical target range, although management expects it to fall below</w:t>
      </w:r>
      <w:r>
        <w:t xml:space="preserve"> </w:t>
      </w:r>
      <w:r>
        <w:rPr>
          <w:b/>
          <w:bCs/>
        </w:rPr>
        <w:t xml:space="preserve">2.0x by fiscal year-end</w:t>
      </w:r>
      <w:r>
        <w:t xml:space="preserve"> </w:t>
      </w:r>
      <w:r>
        <w:t xml:space="preserve">and trend toward</w:t>
      </w:r>
      <w:r>
        <w:t xml:space="preserve"> </w:t>
      </w:r>
      <w:r>
        <w:rPr>
          <w:b/>
          <w:bCs/>
        </w:rPr>
        <w:t xml:space="preserve">1.5x in FY2027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Questions for the call</w:t>
      </w:r>
    </w:p>
    <w:p>
      <w:pPr>
        <w:pStyle w:val="Compact"/>
        <w:numPr>
          <w:ilvl w:val="0"/>
          <w:numId w:val="1005"/>
        </w:numPr>
      </w:pPr>
      <w:r>
        <w:t xml:space="preserve">Is PA still on track for high-single-digit constant-currency revenue growth in the second half?</w:t>
      </w:r>
    </w:p>
    <w:p>
      <w:pPr>
        <w:pStyle w:val="Compact"/>
        <w:numPr>
          <w:ilvl w:val="0"/>
          <w:numId w:val="1005"/>
        </w:numPr>
      </w:pPr>
      <w:r>
        <w:t xml:space="preserve">Are cost synergies tracking ahead of, in line with, or behind the $20 million+ objective?</w:t>
      </w:r>
    </w:p>
    <w:p>
      <w:pPr>
        <w:pStyle w:val="Compact"/>
        <w:numPr>
          <w:ilvl w:val="0"/>
          <w:numId w:val="1005"/>
        </w:numPr>
      </w:pPr>
      <w:r>
        <w:t xml:space="preserve">Are cross-selling opportunities beginning to show up in pipeline or bookings?</w:t>
      </w:r>
    </w:p>
    <w:p>
      <w:pPr>
        <w:pStyle w:val="Compact"/>
        <w:numPr>
          <w:ilvl w:val="0"/>
          <w:numId w:val="1005"/>
        </w:numPr>
      </w:pPr>
      <w:r>
        <w:t xml:space="preserve">Has the company maintained its plan to delever while continuing opportunistic share repurchases?</w:t>
      </w:r>
    </w:p>
    <w:bookmarkEnd w:id="13"/>
    <w:bookmarkStart w:id="14" w:name="X52778b247fe474830d29c80f23f29e4c99d832b"/>
    <w:p>
      <w:pPr>
        <w:pStyle w:val="Heading3"/>
      </w:pPr>
      <w:r>
        <w:t xml:space="preserve">5. Cash flow: distinguish transaction accounting from underlying conversion</w:t>
      </w:r>
    </w:p>
    <w:p>
      <w:pPr>
        <w:pStyle w:val="FirstParagraph"/>
      </w:pPr>
      <w:r>
        <w:t xml:space="preserve">Cash flow could be the most confusing part of the release. Q2 adjusted free cash flow was negative</w:t>
      </w:r>
      <w:r>
        <w:t xml:space="preserve"> </w:t>
      </w:r>
      <w:r>
        <w:rPr>
          <w:b/>
          <w:bCs/>
        </w:rPr>
        <w:t xml:space="preserve">$272 million</w:t>
      </w:r>
      <w:r>
        <w:t xml:space="preserve">, driven partly by working-capital timing and by PA-related accounting items. Management said Q3 reported cash flow would include a further</w:t>
      </w:r>
      <w:r>
        <w:t xml:space="preserve"> </w:t>
      </w:r>
      <w:r>
        <w:rPr>
          <w:b/>
          <w:bCs/>
        </w:rPr>
        <w:t xml:space="preserve">just over $100 million</w:t>
      </w:r>
      <w:r>
        <w:t xml:space="preserve"> </w:t>
      </w:r>
      <w:r>
        <w:t xml:space="preserve">payment associated with employee-benefit-trust obligations from the PA transaction.</w:t>
      </w:r>
    </w:p>
    <w:p>
      <w:pPr>
        <w:pStyle w:val="BodyText"/>
      </w:pPr>
      <w:r>
        <w:t xml:space="preserve">Critically, management characterized this as largely an accounting classification and timing issue: the Q3 cash outflow was already reflected in the transaction economics and should not be interpreted as a fresh deterioration in underlying operating performance.</w:t>
      </w:r>
    </w:p>
    <w:p>
      <w:pPr>
        <w:pStyle w:val="BodyText"/>
      </w:pPr>
      <w:r>
        <w:t xml:space="preserve">Investors should therefore focus on: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Adjusted</w:t>
      </w:r>
      <w:r>
        <w:t xml:space="preserve"> </w:t>
      </w:r>
      <w:r>
        <w:t xml:space="preserve">free cash flow and adjusted FCF margin;</w:t>
      </w:r>
    </w:p>
    <w:p>
      <w:pPr>
        <w:pStyle w:val="Compact"/>
        <w:numPr>
          <w:ilvl w:val="0"/>
          <w:numId w:val="1006"/>
        </w:numPr>
      </w:pPr>
      <w:r>
        <w:t xml:space="preserve">Working-capital normalization;</w:t>
      </w:r>
    </w:p>
    <w:p>
      <w:pPr>
        <w:pStyle w:val="Compact"/>
        <w:numPr>
          <w:ilvl w:val="0"/>
          <w:numId w:val="1006"/>
        </w:numPr>
      </w:pPr>
      <w:r>
        <w:t xml:space="preserve">The credibility of management’s expectation for</w:t>
      </w:r>
      <w:r>
        <w:t xml:space="preserve"> </w:t>
      </w:r>
      <w:r>
        <w:rPr>
          <w:b/>
          <w:bCs/>
        </w:rPr>
        <w:t xml:space="preserve">more than</w:t>
      </w:r>
      <w:r>
        <w:rPr>
          <w:b/>
          <w:bCs/>
        </w:rPr>
        <w:t xml:space="preserve"> </w:t>
      </w:r>
      <m:oMath>
        <m:r>
          <m:t>600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700 million of free cash flow in the second half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Whether cash generation supports both debt reduction and the capital-return program.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6" w:name="earnings-bridge-and-guide-sensitivity"/>
    <w:p>
      <w:pPr>
        <w:pStyle w:val="Heading2"/>
      </w:pPr>
      <w:r>
        <w:t xml:space="preserve">Earnings bridge and guide sensitivity</w:t>
      </w:r>
    </w:p>
    <w:p>
      <w:pPr>
        <w:pStyle w:val="FirstParagraph"/>
      </w:pPr>
      <w:r>
        <w:t xml:space="preserve">Jacobs generated **</w:t>
      </w:r>
      <m:oMath>
        <m:r>
          <m:t>3.28</m:t>
        </m:r>
        <m:r>
          <m:t>o</m:t>
        </m:r>
        <m:r>
          <m:t>f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P</m:t>
        </m:r>
        <m:r>
          <m:t>S</m:t>
        </m:r>
        <m:r>
          <m:t>i</m:t>
        </m:r>
        <m:r>
          <m:t>n</m:t>
        </m:r>
        <m:r>
          <m:t>t</m:t>
        </m:r>
        <m:r>
          <m:t>h</m:t>
        </m:r>
        <m:r>
          <m:t>e</m:t>
        </m:r>
        <m:r>
          <m:t>f</m:t>
        </m:r>
        <m:r>
          <m:t>i</m:t>
        </m:r>
        <m:r>
          <m:t>r</m:t>
        </m:r>
        <m:r>
          <m:t>s</m:t>
        </m:r>
        <m:r>
          <m:t>t</m:t>
        </m:r>
        <m:r>
          <m:t>h</m:t>
        </m:r>
        <m:r>
          <m:t>a</m:t>
        </m:r>
        <m:r>
          <m:t>l</m:t>
        </m:r>
        <m:r>
          <m:t>f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f</m:t>
        </m:r>
        <m:r>
          <m:t>F</m:t>
        </m:r>
        <m:r>
          <m:t>Y</m:t>
        </m:r>
        <m:r>
          <m:t>2026</m:t>
        </m:r>
        <m:r>
          <m:rPr>
            <m:sty m:val="p"/>
          </m:rPr>
          <m:t>.</m:t>
        </m:r>
        <m:r>
          <m:t>A</m:t>
        </m:r>
        <m:r>
          <m:t>t</m:t>
        </m:r>
        <m:r>
          <m:t>t</m:t>
        </m:r>
        <m:r>
          <m:t>h</m:t>
        </m:r>
        <m:r>
          <m:t>e</m:t>
        </m:r>
        <m:r>
          <m:t>m</m:t>
        </m:r>
        <m:r>
          <m:t>i</m:t>
        </m:r>
        <m:r>
          <m:t>d</m:t>
        </m:r>
        <m:r>
          <m:t>p</m:t>
        </m:r>
        <m:r>
          <m:t>o</m:t>
        </m:r>
        <m:r>
          <m:t>i</m:t>
        </m:r>
        <m:r>
          <m:t>n</m:t>
        </m:r>
        <m:r>
          <m:t>t</m:t>
        </m:r>
        <m:r>
          <m:t>o</m:t>
        </m:r>
        <m:r>
          <m:t>f</m:t>
        </m:r>
        <m:r>
          <m:t>f</m:t>
        </m:r>
        <m:r>
          <m:t>u</m:t>
        </m:r>
        <m:r>
          <m:t>l</m:t>
        </m:r>
        <m:r>
          <m:t>l</m:t>
        </m:r>
        <m:r>
          <m:rPr>
            <m:sty m:val="p"/>
          </m:rPr>
          <m:t>−</m:t>
        </m:r>
        <m:r>
          <m:t>y</m:t>
        </m:r>
        <m:r>
          <m:t>e</m:t>
        </m:r>
        <m:r>
          <m:t>a</m:t>
        </m:r>
        <m:r>
          <m:t>r</m:t>
        </m:r>
        <m:r>
          <m:t>g</m:t>
        </m:r>
        <m:r>
          <m:t>u</m:t>
        </m:r>
        <m:r>
          <m:t>i</m:t>
        </m:r>
        <m:r>
          <m:t>d</m:t>
        </m:r>
        <m:r>
          <m:t>a</m:t>
        </m:r>
        <m:r>
          <m:t>n</m:t>
        </m:r>
        <m:r>
          <m:t>c</m:t>
        </m:r>
        <m:r>
          <m:t>e</m:t>
        </m:r>
        <m:r>
          <m:rPr>
            <m:sty m:val="p"/>
          </m:rPr>
          <m:t>(</m:t>
        </m:r>
      </m:oMath>
      <w:r>
        <w:t xml:space="preserve">7.225), the company needs approximately</w:t>
      </w:r>
      <w:r>
        <w:t xml:space="preserve"> </w:t>
      </w:r>
      <w:r>
        <w:rPr>
          <w:b/>
          <w:bCs/>
        </w:rPr>
        <w:t xml:space="preserve">$3.95 of adjusted EPS in the second half</w:t>
      </w:r>
      <w:r>
        <w:t xml:space="preserve">.</w:t>
      </w:r>
    </w:p>
    <w:p>
      <w:pPr>
        <w:pStyle w:val="BodyText"/>
      </w:pPr>
      <w:r>
        <w:t xml:space="preserve">That leaves relatively little room for execution misses, but it also reflects management’s confidence in the seasonal improvement implied by:</w:t>
      </w:r>
    </w:p>
    <w:p>
      <w:pPr>
        <w:pStyle w:val="Compact"/>
        <w:numPr>
          <w:ilvl w:val="0"/>
          <w:numId w:val="1007"/>
        </w:numPr>
      </w:pPr>
      <w:r>
        <w:t xml:space="preserve">Higher second-half margins;</w:t>
      </w:r>
    </w:p>
    <w:p>
      <w:pPr>
        <w:pStyle w:val="Compact"/>
        <w:numPr>
          <w:ilvl w:val="0"/>
          <w:numId w:val="1007"/>
        </w:numPr>
      </w:pPr>
      <w:r>
        <w:t xml:space="preserve">Stronger free-cash-flow generation;</w:t>
      </w:r>
    </w:p>
    <w:p>
      <w:pPr>
        <w:pStyle w:val="Compact"/>
        <w:numPr>
          <w:ilvl w:val="0"/>
          <w:numId w:val="1007"/>
        </w:numPr>
      </w:pPr>
      <w:r>
        <w:t xml:space="preserve">Continued demand in data centers, semiconductors, transportation, power, and water;</w:t>
      </w:r>
    </w:p>
    <w:p>
      <w:pPr>
        <w:pStyle w:val="Compact"/>
        <w:numPr>
          <w:ilvl w:val="0"/>
          <w:numId w:val="1007"/>
        </w:numPr>
      </w:pPr>
      <w:r>
        <w:t xml:space="preserve">Full consolidation of PA Consulting; and</w:t>
      </w:r>
    </w:p>
    <w:p>
      <w:pPr>
        <w:pStyle w:val="Compact"/>
        <w:numPr>
          <w:ilvl w:val="0"/>
          <w:numId w:val="1007"/>
        </w:numPr>
      </w:pPr>
      <w:r>
        <w:t xml:space="preserve">Ongoing share-count reduction from repurchases.</w:t>
      </w:r>
    </w:p>
    <w:p>
      <w:pPr>
        <w:pStyle w:val="FirstParagraph"/>
      </w:pPr>
      <w:r>
        <w:t xml:space="preserve">A guidance raise would be a clear upside signal, but even a reiteration could be constructive if Q3’s margin, bookings, and cash-flow trajectory credibly supports the Q4 step-up.</w:t>
      </w:r>
    </w:p>
    <w:p>
      <w:r>
        <w:pict>
          <v:rect style="width:0;height:1.5pt" o:hralign="center" o:hrstd="t" o:hr="t"/>
        </w:pict>
      </w:r>
    </w:p>
    <w:bookmarkEnd w:id="16"/>
    <w:bookmarkStart w:id="17" w:name="potential-catalysts"/>
    <w:p>
      <w:pPr>
        <w:pStyle w:val="Heading2"/>
      </w:pPr>
      <w:r>
        <w:t xml:space="preserve">Potential catalysts</w:t>
      </w:r>
    </w:p>
    <w:p>
      <w:pPr>
        <w:pStyle w:val="Compact"/>
        <w:numPr>
          <w:ilvl w:val="0"/>
          <w:numId w:val="1008"/>
        </w:numPr>
      </w:pPr>
      <w:r>
        <w:t xml:space="preserve">Q3 adjusted EBITDA margin at or above the approximately</w:t>
      </w:r>
      <w:r>
        <w:t xml:space="preserve"> </w:t>
      </w:r>
      <w:r>
        <w:rPr>
          <w:b/>
          <w:bCs/>
        </w:rPr>
        <w:t xml:space="preserve">15%</w:t>
      </w:r>
      <w:r>
        <w:t xml:space="preserve"> </w:t>
      </w:r>
      <w:r>
        <w:t xml:space="preserve">guide.</w:t>
      </w:r>
    </w:p>
    <w:p>
      <w:pPr>
        <w:pStyle w:val="Compact"/>
        <w:numPr>
          <w:ilvl w:val="0"/>
          <w:numId w:val="1008"/>
        </w:numPr>
      </w:pPr>
      <w:r>
        <w:t xml:space="preserve">Another quarter of book-to-bill above 1.0x and continued backlog expansion.</w:t>
      </w:r>
    </w:p>
    <w:p>
      <w:pPr>
        <w:pStyle w:val="Compact"/>
        <w:numPr>
          <w:ilvl w:val="0"/>
          <w:numId w:val="1008"/>
        </w:numPr>
      </w:pPr>
      <w:r>
        <w:t xml:space="preserve">Strong data-center, semiconductor, and energy/power growth with improved disclosure around revenue conversion.</w:t>
      </w:r>
    </w:p>
    <w:p>
      <w:pPr>
        <w:pStyle w:val="Compact"/>
        <w:numPr>
          <w:ilvl w:val="0"/>
          <w:numId w:val="1008"/>
        </w:numPr>
      </w:pPr>
      <w:r>
        <w:t xml:space="preserve">PA Consulting growth and early cost/sales-synergy validation.</w:t>
      </w:r>
    </w:p>
    <w:p>
      <w:pPr>
        <w:pStyle w:val="Compact"/>
        <w:numPr>
          <w:ilvl w:val="0"/>
          <w:numId w:val="1008"/>
        </w:numPr>
      </w:pPr>
      <w:r>
        <w:t xml:space="preserve">Confirmation of second-half cash-flow expectations and year-end leverage below 2.0x.</w:t>
      </w:r>
    </w:p>
    <w:p>
      <w:pPr>
        <w:pStyle w:val="Compact"/>
        <w:numPr>
          <w:ilvl w:val="0"/>
          <w:numId w:val="1008"/>
        </w:numPr>
      </w:pPr>
      <w:r>
        <w:t xml:space="preserve">A raise to FY2026 EPS, margin, or growth guidance.</w:t>
      </w:r>
    </w:p>
    <w:bookmarkEnd w:id="17"/>
    <w:bookmarkStart w:id="18" w:name="key-risks-into-the-print"/>
    <w:p>
      <w:pPr>
        <w:pStyle w:val="Heading2"/>
      </w:pPr>
      <w:r>
        <w:t xml:space="preserve">Key risks into the print</w:t>
      </w:r>
    </w:p>
    <w:p>
      <w:pPr>
        <w:pStyle w:val="Compact"/>
        <w:numPr>
          <w:ilvl w:val="0"/>
          <w:numId w:val="1009"/>
        </w:numPr>
      </w:pPr>
      <w:r>
        <w:t xml:space="preserve">A miss on the margin cadence needed to support the implied 16%+ Q4 margin.</w:t>
      </w:r>
    </w:p>
    <w:p>
      <w:pPr>
        <w:pStyle w:val="Compact"/>
        <w:numPr>
          <w:ilvl w:val="0"/>
          <w:numId w:val="1009"/>
        </w:numPr>
      </w:pPr>
      <w:r>
        <w:t xml:space="preserve">Slower conversion of AI-infrastructure opportunities from pipeline into revenue.</w:t>
      </w:r>
    </w:p>
    <w:p>
      <w:pPr>
        <w:pStyle w:val="Compact"/>
        <w:numPr>
          <w:ilvl w:val="0"/>
          <w:numId w:val="1009"/>
        </w:numPr>
      </w:pPr>
      <w:r>
        <w:t xml:space="preserve">Weak bookings or book-to-bill, particularly after the record Q2 backlog level.</w:t>
      </w:r>
    </w:p>
    <w:p>
      <w:pPr>
        <w:pStyle w:val="Compact"/>
        <w:numPr>
          <w:ilvl w:val="0"/>
          <w:numId w:val="1009"/>
        </w:numPr>
      </w:pPr>
      <w:r>
        <w:t xml:space="preserve">Incremental PA integration costs, synergy delays, or less favorable cash conversion.</w:t>
      </w:r>
    </w:p>
    <w:p>
      <w:pPr>
        <w:pStyle w:val="Compact"/>
        <w:numPr>
          <w:ilvl w:val="0"/>
          <w:numId w:val="1009"/>
        </w:numPr>
      </w:pPr>
      <w:r>
        <w:t xml:space="preserve">Softness in environmental work, which offset water strength in Q2.</w:t>
      </w:r>
    </w:p>
    <w:p>
      <w:pPr>
        <w:pStyle w:val="Compact"/>
        <w:numPr>
          <w:ilvl w:val="0"/>
          <w:numId w:val="1009"/>
        </w:numPr>
      </w:pPr>
      <w:r>
        <w:t xml:space="preserve">Federal, infrastructure-funding, trade-policy, geopolitical, or client-capex uncertainty affecting project timing.</w:t>
      </w:r>
    </w:p>
    <w:p>
      <w:r>
        <w:pict>
          <v:rect style="width:0;height:1.5pt" o:hralign="center" o:hrstd="t" o:hr="t"/>
        </w:pict>
      </w:r>
    </w:p>
    <w:bookmarkEnd w:id="18"/>
    <w:bookmarkStart w:id="1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Jacobs’ Q3 setup is constructive: core demand is broad, backlog is at a record, AI-related infrastructure is becoming a meaningful growth driver, PA Consulting should improve mix and capability, and management has laid out a credible second-half margin and cash-flow inflection.</w:t>
      </w:r>
    </w:p>
    <w:p>
      <w:pPr>
        <w:pStyle w:val="BodyText"/>
      </w:pPr>
      <w:r>
        <w:t xml:space="preserve">However, expectations are no longer low. The report needs to demonstrate that Q2’s strength was not a one-off:</w:t>
      </w:r>
      <w:r>
        <w:t xml:space="preserve"> </w:t>
      </w:r>
      <w:r>
        <w:rPr>
          <w:b/>
          <w:bCs/>
        </w:rPr>
        <w:t xml:space="preserve">~15% Q3 EBITDA margin, sustained bookings, continued AI-infrastructure conversion, PA synergy progress, and a clean explanation of cash-flow timing</w:t>
      </w:r>
      <w:r>
        <w:t xml:space="preserve"> </w:t>
      </w:r>
      <w:r>
        <w:t xml:space="preserve">are the essential ingredients for a positive investor reaction.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2026-08-04T01:28:44Z</dcterms:created>
  <dcterms:modified xsi:type="dcterms:W3CDTF">2026-08-04T01:28:44Z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