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pBdr>
          <w:bottom w:val="single" w:sz="4" w:space="1" w:color="FB9120"/>
        </w:pBdr>
      </w:pPr>
      <w:r>
        <w:rPr>
          <w:rFonts w:ascii="Calibri" w:hAnsi="Calibri"/>
          <w:b/>
          <w:color w:val="3B4259"/>
          <w:sz w:val="40"/>
        </w:rPr>
        <w:t>Jacobs Solutions Inc. (J) — Earnings Preview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Company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Jacobs Solutions Inc.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Upcoming Earnings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August 4, 2026 (After Market Close)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Ticker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J (NYSE)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Prepared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August 3, 2026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Reporting Period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Fiscal Q3 2026 (Quarter Ended June 27, 2026)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Sector ETF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PWR (Quanta Services — proxy for E&amp;C/infrastructure)</w:t>
            </w:r>
          </w:p>
        </w:tc>
      </w:tr>
    </w:tbl>
    <w:p>
      <w:pPr>
        <w:pStyle w:val="Heading2"/>
      </w:pPr>
      <w:r>
        <w:rPr>
          <w:rFonts w:ascii="Calibri" w:hAnsi="Calibri"/>
          <w:b/>
          <w:color w:val="3B4259"/>
          <w:sz w:val="28"/>
        </w:rPr>
        <w:t>1. Earnings Preview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The setup into Q3 FY26 is </w:t>
      </w:r>
      <w:r>
        <w:rPr>
          <w:rFonts w:ascii="Calibri" w:hAnsi="Calibri"/>
          <w:b/>
          <w:color w:val="525866"/>
          <w:sz w:val="22"/>
        </w:rPr>
        <w:t>constructive</w:t>
      </w:r>
      <w:r>
        <w:rPr>
          <w:rFonts w:ascii="Calibri" w:hAnsi="Calibri"/>
          <w:color w:val="525866"/>
          <w:sz w:val="22"/>
        </w:rPr>
        <w:t xml:space="preserve"> — consensus is a manageable bar after two consecutive guidance raises, and the data center/AI infrastructure cycle continues to accelerate, but the stock's post-earnings selloff and subsequent recovery suggest the market is watching for evidence that the Q3 margin guide (~15% EBITDA) is achievable and that </w:t>
      </w:r>
      <w:r>
        <w:rPr>
          <w:rFonts w:ascii="Calibri" w:hAnsi="Calibri"/>
          <w:b/>
          <w:color w:val="525866"/>
          <w:sz w:val="22"/>
        </w:rPr>
        <w:t>backlog conversion is on track</w:t>
      </w:r>
      <w:r>
        <w:rPr>
          <w:rFonts w:ascii="Calibri" w:hAnsi="Calibri"/>
          <w:color w:val="525866"/>
          <w:sz w:val="22"/>
        </w:rPr>
        <w:t>.</w:t>
      </w:r>
    </w:p>
    <w:p>
      <w:r>
        <w:rPr>
          <w:rFonts w:ascii="Calibri" w:hAnsi="Calibri"/>
          <w:color w:val="525866"/>
          <w:sz w:val="22"/>
        </w:rPr>
        <w:t xml:space="preserve">Jacobs heads into its fiscal Q3 2026 print (reporting August 4, 2026 after market close) with strong fundamental momentum but a stock that has underperformed the S&amp;P 500 since the Q2 beat — down ~16% from the May 5 earnings-day close before recovering to roughly flat (+1.6% indexed). Consensus is calling for ~$2.40B in adjusted net revenue (+7.5% YoY, in line with management's Q3 guide) and ~$1.82 in adjusted EPS, with an EBITDA margin of ~15.1% — management guided explicitly to "approximately 15%" for Q3, so the bar is well-telegraphed. The key swing factor is whether the </w:t>
      </w:r>
      <w:r>
        <w:rPr>
          <w:rFonts w:ascii="Calibri" w:hAnsi="Calibri"/>
          <w:b/>
          <w:color w:val="525866"/>
          <w:sz w:val="22"/>
        </w:rPr>
        <w:t>data center/AI infrastructure pipeline (up 400% YoY in pipeline terms as of Q2)</w:t>
      </w:r>
      <w:r>
        <w:rPr>
          <w:rFonts w:ascii="Calibri" w:hAnsi="Calibri"/>
          <w:color w:val="525866"/>
          <w:sz w:val="22"/>
        </w:rPr>
        <w:t xml:space="preserve"> is translating into accelerating bookings and whether the life sciences segment (pipeline up 81% YoY) is sustaining its 12%+ net revenue growth trajectory. PA Consulting integration is progressing ahead of plan with cost synergies now guided to $20M+ vs. the original $16-20M range, and the environmental services recovery (expected to show meaningful YoY improvement by Q4) will be closely watched. The wildcard is whether management </w:t>
      </w:r>
      <w:r>
        <w:rPr>
          <w:rFonts w:ascii="Calibri" w:hAnsi="Calibri"/>
          <w:b/>
          <w:color w:val="525866"/>
          <w:sz w:val="22"/>
        </w:rPr>
        <w:t>raises FY26 guidance for a third consecutive quarter</w:t>
      </w:r>
      <w:r>
        <w:rPr>
          <w:rFonts w:ascii="Calibri" w:hAnsi="Calibri"/>
          <w:color w:val="525866"/>
          <w:sz w:val="22"/>
        </w:rPr>
        <w:t xml:space="preserve"> — the implied Q4 margin of 16%+ is well above current Street estimates and any pull-forward of that confidence would be a positive catalyst.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Bar: </w:t>
      </w:r>
      <w:r>
        <w:rPr>
          <w:rFonts w:ascii="Calibri" w:hAnsi="Calibri"/>
          <w:color w:val="525866"/>
          <w:sz w:val="22"/>
        </w:rPr>
        <w:t>Consensus is a manageable bar — management explicitly guided Q3 adjusted EBITDA margin to ~15% and net revenue growth of ~7.5% YoY, so the Street is essentially tracking guidance. The bigger question is whether J beats the margin guide as it did in Q2 (14.1% actual vs. ~13.9% consensus).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Guidance/Tone: </w:t>
      </w:r>
      <w:r>
        <w:rPr>
          <w:rFonts w:ascii="Calibri" w:hAnsi="Calibri"/>
          <w:color w:val="525866"/>
          <w:sz w:val="22"/>
        </w:rPr>
        <w:t>Management's tone has been consistently more confident with each passing quarter — two consecutive guidance raises and a raised FY29 EBITDA margin target (to 17%+) signal high conviction in the multi-year trajectory. No post-earnings guidance revisions have been issued.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Estimate Trajectory: </w:t>
      </w:r>
      <w:r>
        <w:rPr>
          <w:rFonts w:ascii="Calibri" w:hAnsi="Calibri"/>
          <w:color w:val="525866"/>
          <w:sz w:val="22"/>
        </w:rPr>
        <w:t>Estimates have moved modestly higher since the Q2 print — Q3 FY26 EPS consensus was $1.83 at the post-earnings baseline (May 12) vs. $1.82 current, essentially flat. FY26 EPS consensus has drifted slightly from $7.25 to $7.20 (current), tracking the raised guidance midpoint of $7.225.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Stock Setup: </w:t>
      </w:r>
      <w:r>
        <w:rPr>
          <w:rFonts w:ascii="Calibri" w:hAnsi="Calibri"/>
          <w:color w:val="525866"/>
          <w:sz w:val="22"/>
        </w:rPr>
        <w:t>J has recovered from a sharp post-earnings selloff (stock fell from $136.55 to ~$107 in the two weeks after Q2 earnings) and has since recovered to ~$138, roughly flat vs. the earnings-day close. The stock trades at ~19x NTM EPS vs. peers, a discount to WSP and AECOM, reflecting lingering leverage concerns post-PA acquisition (2.1x net debt/EBITDA, targeting &lt;2x by year-end).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Wildcard: </w:t>
      </w:r>
      <w:r>
        <w:rPr>
          <w:rFonts w:ascii="Calibri" w:hAnsi="Calibri"/>
          <w:color w:val="525866"/>
          <w:sz w:val="22"/>
        </w:rPr>
        <w:t>A third consecutive guidance raise — particularly any pull-forward of the implied Q4 16%+ EBITDA margin — would be the single biggest positive catalyst. Conversely, any softness in the environmental services recovery timeline or a book-to-bill below 1.0x would disappoint.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2. KPIs &amp; Consensus Expectations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Consensus is tracking management's explicit Q3 guidance closely — the bar is well-defined. </w:t>
      </w:r>
      <w:r>
        <w:rPr>
          <w:rFonts w:ascii="Calibri" w:hAnsi="Calibri"/>
          <w:b/>
          <w:color w:val="525866"/>
          <w:sz w:val="22"/>
        </w:rPr>
        <w:t>Backlog and book-to-bill are the bigger swing factors</w:t>
      </w:r>
      <w:r>
        <w:rPr>
          <w:rFonts w:ascii="Calibri" w:hAnsi="Calibri"/>
          <w:color w:val="525866"/>
          <w:sz w:val="22"/>
        </w:rPr>
        <w:t>; a third consecutive record backlog print would be a strong signal.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1 — Current Quarter Snapshot (Q3 FY26)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Last Quarter Actual (Q2 FY26)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Prior Year Period (Q3 FY25)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Estimate (Q3 FY26)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YoY Change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Adjusted Net 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$2,328M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$2,231M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$2,404M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+7.7%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~7.5% YoY growth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In line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Adjusted EBITDA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$327M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$313M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$362M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+15.6%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~15% margin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In line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Adj. EBITDA Margin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14.1%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14.1%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15.1%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+100 bps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~15%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+10 bps above midpoint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Adj. EPS (Diluted, Cont. Ops)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$1.75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$1.62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$1.82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+12.3%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(FY guide only)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Tracking FY midpoint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Backlog (Total)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$26,965M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$22,690M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$27,112M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+19.5%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Record levels expected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In line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Book-to-Bill (Total)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1.16x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1.15x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1.01x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&gt;1.0x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In line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Free Cash Flow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($272M)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$271M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$233M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N/M (Q2 PA timing)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$600–700M H2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Tracking H2 guide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Note: </w:t>
      </w:r>
      <w:r>
        <w:rPr>
          <w:rFonts w:ascii="Calibri" w:hAnsi="Calibri"/>
          <w:color w:val="525866"/>
          <w:sz w:val="22"/>
        </w:rPr>
        <w:t>Q2 FY26 FCF was negative due to ~$233M PA Consulting acquisition accounting treatment under U.S. GAAP; H2 FCF expected to be $600–700M per management guidance. All consensus figures sourced from Visible Alpha.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2 — Beat/Miss History (Last 8 Quarters)</w:t>
      </w:r>
    </w:p>
    <w:p>
      <w:pPr>
        <w:pStyle w:val="Heading4"/>
      </w:pPr>
      <w:r>
        <w:rPr>
          <w:rFonts w:ascii="Calibri" w:hAnsi="Calibri"/>
          <w:b/>
          <w:color w:val="3B4259"/>
          <w:sz w:val="22"/>
        </w:rPr>
        <w:t>Adjusted EPS (Diluted, Continuing Operations — Operating)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FY24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$1.29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+2.4%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FY24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$1.37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$1.39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-1.4%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FY25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$1.33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+5.6%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FY25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$1.43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$1.40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+2.1%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FY25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$1.62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$1.53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+5.9%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FY25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$1.75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$1.68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+4.2%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FY26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$1.53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$1.50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FY26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$1.75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$1.64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+6.7%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</w:tbl>
    <w:p>
      <w:pPr>
        <w:pStyle w:val="Heading4"/>
      </w:pPr>
      <w:r>
        <w:rPr>
          <w:rFonts w:ascii="Calibri" w:hAnsi="Calibri"/>
          <w:b/>
          <w:color w:val="3B4259"/>
          <w:sz w:val="22"/>
        </w:rPr>
        <w:t>Adjusted Net Revenue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FY24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$2,085M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$2,078M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+0.3%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In Line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FY24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$2,119M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$2,172M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-2.4%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FY25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$2,083M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$2,078M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In Line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FY25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$2,139M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$2,174M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-1.6%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FY25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$2,231M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$2,221M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FY25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$2,242M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$2,264M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-1.0%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FY26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$2,253M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$2,215M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+1.7%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FY26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$2,328M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$2,282M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Pattern: </w:t>
      </w:r>
      <w:r>
        <w:rPr>
          <w:rFonts w:ascii="Calibri" w:hAnsi="Calibri"/>
          <w:color w:val="525866"/>
          <w:sz w:val="22"/>
        </w:rPr>
        <w:t xml:space="preserve">J has beaten EPS in 7 of the last 8 quarters, with the one miss in Q4 FY24. Revenue beats have been more mixed (4 beats, 3 misses, 1 in-line) — suggesting </w:t>
      </w:r>
      <w:r>
        <w:rPr>
          <w:rFonts w:ascii="Calibri" w:hAnsi="Calibri"/>
          <w:b/>
          <w:color w:val="525866"/>
          <w:sz w:val="22"/>
        </w:rPr>
        <w:t>margin outperformance is the more consistent driver of EPS beats</w:t>
      </w:r>
      <w:r>
        <w:rPr>
          <w:rFonts w:ascii="Calibri" w:hAnsi="Calibri"/>
          <w:color w:val="525866"/>
          <w:sz w:val="22"/>
        </w:rPr>
        <w:t xml:space="preserve"> rather than top-line upside. This makes the Q3 EBITDA margin guide (~15%) the key number to watch.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3. Guidance &amp; Commentary Evolution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FY26 guidance has been raised twice in two quarters with no post-earnings revisions — management's tone is increasingly confident, and the Q3 explicit guide (~15% EBITDA margin, ~7.5% net revenue growth) sets a </w:t>
      </w:r>
      <w:r>
        <w:rPr>
          <w:rFonts w:ascii="Calibri" w:hAnsi="Calibri"/>
          <w:b/>
          <w:color w:val="525866"/>
          <w:sz w:val="22"/>
        </w:rPr>
        <w:t>clear, achievable bar</w:t>
      </w:r>
      <w:r>
        <w:rPr>
          <w:rFonts w:ascii="Calibri" w:hAnsi="Calibri"/>
          <w:color w:val="525866"/>
          <w:sz w:val="22"/>
        </w:rPr>
        <w:t>. The baseline is the Q2 FY26 earnings call (May 5, 2026); no post-earnings events have changed guidance.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Metric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(Q2 FY26 Earnings, May 5, 2026)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Revised Guidance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FY26 Adj. Net Revenue Growth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8.0% to 10.5% YoY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~9.5% YoY ($9.48B)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Raised from 6.5%–10.0% at Q1 earnings; no post-earnings revision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FY26 Adj. EBITDA Margin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14.6% to 14.9%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14.7%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Raised from 14.4%–14.7% at Q1; no post-earnings revision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FY26 Adj. EPS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$7.10 to $7.35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$7.20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Raised from $6.95–$7.30 at Q1; midpoint implies 18% YoY growth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FY26 Adj. FCF Margin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7.0% to 8.5%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~6.1% ($575M)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H2 expected to be $600–700M; consensus below guidance range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FY26 Adj. EBITDA Margin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~15%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15.1%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Explicit Q3 guide; implies Q4 margin &gt;16%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FY26 Net Revenue Growth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~7.5% YoY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~7.7% YoY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Explicit Q3 guide; consensus tracking in line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FY29 Adj. EBITDA Margin Target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17%+ (raised 100 bps at Q2 earnings)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Long-term signal; raised from 16%+ prior target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FY29 FCF Margin Target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11%+ (raised 100 bps at Q2 earnings)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Implies $1.2–$1.3B annual FCF by FY29; raised from 10%+ prior target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4. Guidance vs. Estimate Revision Tracker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Estimates have been remarkably stable since the Q2 print, tracking the raised guidance midpoints. The </w:t>
      </w:r>
      <w:r>
        <w:rPr>
          <w:rFonts w:ascii="Calibri" w:hAnsi="Calibri"/>
          <w:b/>
          <w:color w:val="525866"/>
          <w:sz w:val="22"/>
        </w:rPr>
        <w:t>FY26 EPS consensus of $7.20 sits near the midpoint of the $7.10–$7.35 guidance range</w:t>
      </w:r>
      <w:r>
        <w:rPr>
          <w:rFonts w:ascii="Calibri" w:hAnsi="Calibri"/>
          <w:color w:val="525866"/>
          <w:sz w:val="22"/>
        </w:rPr>
        <w:t>, suggesting limited revision risk in either direction unless Q3 surprises materially.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 / Period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(May 12, 2026 — Post-Q2 Baseline)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Δ (%)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(Q2 Call)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Guidance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 Δ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Adj. EPS — Q3 FY26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$1.83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$1.82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-0.5%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Adj. EPS — FY26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$7.25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$7.20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-0.7%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$7.10–$7.35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$7.10–$7.35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At midpoint ($7.225)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Adj. EPS — FY27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$8.33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$8.19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-1.7%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Adj. Net Revenue — Q3 FY26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$2,408M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$2,404M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-0.2%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~7.5% YoY (~$2,400M)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~7.5% YoY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In line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Adj. Net Revenue — FY26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$9,516M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$9,482M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-0.4%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8.0%–10.5% YoY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8.0%–10.5% YoY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At low end of range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Adj. EBITDA Margin — Q3 FY26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15.0%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15.1%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+10 bps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~15%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~15%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+10 bps above guide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Adj. EBITDA Margin — FY26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14.7%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14.7%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Flat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14.6%–14.9%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14.6%–14.9%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At midpoint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Backlog — Q3 FY26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$26,957M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$27,112M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+0.6%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Record levels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Record levels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In line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Commentary: </w:t>
      </w:r>
      <w:r>
        <w:rPr>
          <w:rFonts w:ascii="Calibri" w:hAnsi="Calibri"/>
          <w:color w:val="525866"/>
          <w:sz w:val="22"/>
        </w:rPr>
        <w:t>Estimates have been stable post-Q2, with EPS drifting down ~0.5–1.7% across periods — likely reflecting the higher tax rate guide (27–28% in Q3/Q4 vs. 24.3% in Q2) rather than any fundamental deterioration. The FY27 EPS estimate of $8.19 implies ~14% growth vs. FY26, consistent with management's 17%+ EBITDA margin target trajectory and the 75+ bps of annual margin improvement guided from FY27 through FY29. All consensus figures sourced from Visible Alpha.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5. Stock Performance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J underperformed sharply in the two weeks post-Q2 earnings (falling ~21% from $136.55 to ~$107) before recovering to roughly </w:t>
      </w:r>
      <w:r>
        <w:rPr>
          <w:rFonts w:ascii="Calibri" w:hAnsi="Calibri"/>
          <w:b/>
          <w:color w:val="525866"/>
          <w:sz w:val="22"/>
        </w:rPr>
        <w:t>flat (+1.6% indexed vs. earnings day)</w:t>
      </w:r>
      <w:r>
        <w:rPr>
          <w:rFonts w:ascii="Calibri" w:hAnsi="Calibri"/>
          <w:color w:val="525866"/>
          <w:sz w:val="22"/>
        </w:rPr>
        <w:t>, while the S&amp;P 500 is up ~4.7% over the same period — suggesting the initial selloff was sentiment/valuation-driven rather than fundamental, and the recovery reflects improving confidence in the PA integration and margin trajectory.</w:t>
      </w:r>
    </w:p>
    <w:p>
      <w:r>
        <w:drawing>
          <wp:inline xmlns:a="http://schemas.openxmlformats.org/drawingml/2006/main" xmlns:pic="http://schemas.openxmlformats.org/drawingml/2006/picture">
            <wp:extent cx="4572000" cy="32657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65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6666"/>
          <w:sz w:val="18"/>
        </w:rPr>
        <w:t>J vs. PWR vs. S&amp;P 500 (SPY) — Indexed to 100 at May 5, 2026 (Q2 FY26 Earnings Date). Source: Yahoo Finance.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Sharp post-earnings selloff (May 5 – ~May 13): </w:t>
      </w:r>
      <w:r>
        <w:rPr>
          <w:rFonts w:ascii="Calibri" w:hAnsi="Calibri"/>
          <w:color w:val="525866"/>
          <w:sz w:val="22"/>
        </w:rPr>
        <w:t>J fell from $136.55 to ~$107 (-21%) in the two weeks following the Q2 beat, despite strong results — likely reflecting valuation concerns around PA acquisition leverage (2.1x net debt/EBITDA) and the higher Q3/Q4 tax rate guide (27–28% vs. 24.3% in Q2).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Recovery to flat (+1.6% indexed): </w:t>
      </w:r>
      <w:r>
        <w:rPr>
          <w:rFonts w:ascii="Calibri" w:hAnsi="Calibri"/>
          <w:color w:val="525866"/>
          <w:sz w:val="22"/>
        </w:rPr>
        <w:t>J has since recovered to ~$138.72 (as of August 4, 2026), roughly flat vs. the earnings-day close, driven by steady contract wins and improving confidence in the PA integration.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PWR (Quanta Services) down ~11.8% indexed: </w:t>
      </w:r>
      <w:r>
        <w:rPr>
          <w:rFonts w:ascii="Calibri" w:hAnsi="Calibri"/>
          <w:color w:val="525866"/>
          <w:sz w:val="22"/>
        </w:rPr>
        <w:t>Quanta has underperformed significantly over the same period, reflecting sector-specific pressures unrelated to J's business mix.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S&amp;P 500 up ~4.7% indexed: </w:t>
      </w:r>
      <w:r>
        <w:rPr>
          <w:rFonts w:ascii="Calibri" w:hAnsi="Calibri"/>
          <w:color w:val="525866"/>
          <w:sz w:val="22"/>
        </w:rPr>
        <w:t>J has underperformed the market by ~3.1% since Q2 earnings, creating a modest valuation opportunity if Q3 confirms the margin trajectory.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Late-July catalysts: </w:t>
      </w:r>
      <w:r>
        <w:rPr>
          <w:rFonts w:ascii="Calibri" w:hAnsi="Calibri"/>
          <w:color w:val="525866"/>
          <w:sz w:val="22"/>
        </w:rPr>
        <w:t>UK National Highways contracts (July 15) and Orange County highway awards (July 29) provided positive momentum, with the stock rising ~1.8% on the Orange County news.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6. Material News &amp; Developments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The most important development since Q2 earnings is the steady cadence of </w:t>
      </w:r>
      <w:r>
        <w:rPr>
          <w:rFonts w:ascii="Calibri" w:hAnsi="Calibri"/>
          <w:b/>
          <w:color w:val="525866"/>
          <w:sz w:val="22"/>
        </w:rPr>
        <w:t>contract wins across transportation and infrastructure</w:t>
      </w:r>
      <w:r>
        <w:rPr>
          <w:rFonts w:ascii="Calibri" w:hAnsi="Calibri"/>
          <w:color w:val="525866"/>
          <w:sz w:val="22"/>
        </w:rPr>
        <w:t>, reinforcing the record backlog thesis — no negative surprises have emerged since the May 5 print.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August 4, 2026 — Q3 FY26 Earnings Release (Today): </w:t>
      </w:r>
      <w:r>
        <w:rPr>
          <w:rFonts w:ascii="Calibri" w:hAnsi="Calibri"/>
          <w:color w:val="525866"/>
          <w:sz w:val="22"/>
        </w:rPr>
        <w:t>J reports fiscal Q3 2026 results after market close; conference call at 4:30 PM ET. Primary catalyst for the stock.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29, 2026 — Orange County Highway Contracts: </w:t>
      </w:r>
      <w:r>
        <w:rPr>
          <w:rFonts w:ascii="Calibri" w:hAnsi="Calibri"/>
          <w:color w:val="525866"/>
          <w:sz w:val="22"/>
        </w:rPr>
        <w:t xml:space="preserve">Jacobs awarded construction management services for two major highway improvement projects in Orange County, CA (SR-91 and I-5 improvements). Reinforces transportation infrastructure backlog; stock rose ~1.8% on the news. </w:t>
      </w:r>
      <w:r>
        <w:rPr>
          <w:rFonts w:ascii="Calibri" w:hAnsi="Calibri"/>
          <w:b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Positive for backlog and book-to-bill heading into Q3 print.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15, 2026 — UK National Highways Contracts: </w:t>
      </w:r>
      <w:r>
        <w:rPr>
          <w:rFonts w:ascii="Calibri" w:hAnsi="Calibri"/>
          <w:color w:val="525866"/>
          <w:sz w:val="22"/>
        </w:rPr>
        <w:t xml:space="preserve">Jacobs won three new commissions from UK National Highways — two viaduct renewal design awards under the Technical Assurance and Asset Management Framework, plus a five-year project management services framework covering at least 15 schemes. </w:t>
      </w:r>
      <w:r>
        <w:rPr>
          <w:rFonts w:ascii="Calibri" w:hAnsi="Calibri"/>
          <w:b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Positive for international backlog and I&amp;AF segment visibility.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14, 2026 — Q3 Earnings Call Announcement: </w:t>
      </w:r>
      <w:r>
        <w:rPr>
          <w:rFonts w:ascii="Calibri" w:hAnsi="Calibri"/>
          <w:color w:val="525866"/>
          <w:sz w:val="22"/>
        </w:rPr>
        <w:t>Jacobs confirmed Q3 FY26 results on August 4, 2026 after market close, with a conference call at 4:30 PM ET.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2, 2026 — Truist Lowers Price Target: </w:t>
      </w:r>
      <w:r>
        <w:rPr>
          <w:rFonts w:ascii="Calibri" w:hAnsi="Calibri"/>
          <w:color w:val="525866"/>
          <w:sz w:val="22"/>
        </w:rPr>
        <w:t>Truist Financial lowered price target from $150 to $149, maintaining Hold rating. Reflects valuation caution but no fundamental concern.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June 2026 — LA Metro Zero-Emission Bus Contract: </w:t>
      </w:r>
      <w:r>
        <w:rPr>
          <w:rFonts w:ascii="Calibri" w:hAnsi="Calibri"/>
          <w:color w:val="525866"/>
          <w:sz w:val="22"/>
        </w:rPr>
        <w:t xml:space="preserve">Jacobs (with Clark Construction Group) selected by LA Metro to design and build zero-emission bus charging infrastructure at two key Los Angeles divisions. </w:t>
      </w:r>
      <w:r>
        <w:rPr>
          <w:rFonts w:ascii="Calibri" w:hAnsi="Calibri"/>
          <w:b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Positions J at the center of LA's 2028 Olympic infrastructure build-out; positive for transportation segment.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19, 2026 — RBC Reiterates Outperform ($169 PT): </w:t>
      </w:r>
      <w:r>
        <w:rPr>
          <w:rFonts w:ascii="Calibri" w:hAnsi="Calibri"/>
          <w:color w:val="525866"/>
          <w:sz w:val="22"/>
        </w:rPr>
        <w:t>Royal Bank of Canada reiterated Outperform rating with $169 price target — the most bullish on the Street, implying ~22% upside from current levels.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6, 2026 — Post-Earnings Analyst Actions: </w:t>
      </w:r>
      <w:r>
        <w:rPr>
          <w:rFonts w:ascii="Calibri" w:hAnsi="Calibri"/>
          <w:color w:val="525866"/>
          <w:sz w:val="22"/>
        </w:rPr>
        <w:t>Citigroup raised PT from $180 to $181 (Buy); Wells Fargo lowered PT from $137 to $131 (Equal Weight); KeyCorp lowered PT from $154 to $150 (Overweight). Mixed reactions reflecting valuation debate post-PA acquisition.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Analyst Consensus (Current): </w:t>
      </w:r>
      <w:r>
        <w:rPr>
          <w:rFonts w:ascii="Calibri" w:hAnsi="Calibri"/>
          <w:color w:val="525866"/>
          <w:sz w:val="22"/>
        </w:rPr>
        <w:t>12 analysts covering J — 6 Buy, 6 Hold, 0 Sell. Average PT of $153.10, implying ~10.4% upside from current levels (~$138.72). Citigroup is the most bullish at $181; Baird is the most cautious at $126.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7. Insider Transaction Activity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CEO Robert Pragada made a meaningful open-market purchase of ~$397K in mid-May — a </w:t>
      </w:r>
      <w:r>
        <w:rPr>
          <w:rFonts w:ascii="Calibri" w:hAnsi="Calibri"/>
          <w:b/>
          <w:color w:val="525866"/>
          <w:sz w:val="22"/>
        </w:rPr>
        <w:t>notable signal of conviction at prices well below current levels</w:t>
      </w:r>
      <w:r>
        <w:rPr>
          <w:rFonts w:ascii="Calibri" w:hAnsi="Calibri"/>
          <w:color w:val="525866"/>
          <w:sz w:val="22"/>
        </w:rPr>
        <w:t xml:space="preserve"> (~$110–114 range at the post-earnings trough). No insider selling has been disclosed since Q2 earnings.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Name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Title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Type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Value (Approx.)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Date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Disclosure Date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Robert V. Pragada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Chair &amp; CEO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Open Market Buy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~$397K (3,601 shares)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15,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18,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Discretionary purchase at ~$110/share; strong conviction signal at post-earnings lows; no 10b5-1 plan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Manuel J. Fernandez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Open Market Buy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~$28K (253 shares)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13,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14,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Discretionary purchase; director buying alongside CEO; no 10b5-1 plan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Manuel J. Fernandez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Open Market Buy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~$45K (403 shares)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8,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12,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Discretionary purchase at post-earnings lows (~$118/share); no 10b5-1 plan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Note: </w:t>
      </w:r>
      <w:r>
        <w:rPr>
          <w:rFonts w:ascii="Calibri" w:hAnsi="Calibri"/>
          <w:color w:val="525866"/>
          <w:sz w:val="22"/>
        </w:rPr>
        <w:t>All three transactions are open-market purchases (Form 4, Code P) with no 10b5-1 plan designation — these are fully discretionary buys. The CEO's purchase of 3,601 shares at approximately $110/share represents a meaningful personal commitment at the post-earnings trough. No insider selling has been disclosed since Q2 earnings. Source: SEC Form 4 filings.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8. Peer Commentaries — Read-Through for Q3 FY26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Peers reporting in the last 60 days paint a </w:t>
      </w:r>
      <w:r>
        <w:rPr>
          <w:rFonts w:ascii="Calibri" w:hAnsi="Calibri"/>
          <w:b/>
          <w:color w:val="525866"/>
          <w:sz w:val="22"/>
        </w:rPr>
        <w:t>uniformly bullish picture for J's core end markets</w:t>
      </w:r>
      <w:r>
        <w:rPr>
          <w:rFonts w:ascii="Calibri" w:hAnsi="Calibri"/>
          <w:color w:val="525866"/>
          <w:sz w:val="22"/>
        </w:rPr>
        <w:t xml:space="preserve"> — data center/AI infrastructure demand is accelerating, backlog growth is broad-based and at record levels, and engineering services demand remains capacity-constrained. The read-through is positive across all of J's key growth vectors.</w:t>
      </w:r>
    </w:p>
    <w:p>
      <w:r>
        <w:rPr>
          <w:rFonts w:ascii="Calibri" w:hAnsi="Calibri"/>
          <w:b/>
          <w:color w:val="525866"/>
          <w:sz w:val="22"/>
        </w:rPr>
        <w:t xml:space="preserve">Scope note: </w:t>
      </w:r>
      <w:r>
        <w:rPr>
          <w:rFonts w:ascii="Calibri" w:hAnsi="Calibri"/>
          <w:color w:val="525866"/>
          <w:sz w:val="22"/>
        </w:rPr>
        <w:t>Only commentary about the current reporting period (Q3 FY26 / calendar Q2 2026) or forward-looking commentary made after J's last earnings (May 5, 2026) is included. Prior-quarter results commentary is excluded.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EME (EMCOR Group) — Q2 FY26 Earnings (Reported July 30, 2026)</w:t>
      </w:r>
    </w:p>
    <w:p>
      <w:r>
        <w:rPr>
          <w:rFonts w:ascii="Calibri" w:hAnsi="Calibri"/>
          <w:b/>
          <w:color w:val="525866"/>
          <w:sz w:val="22"/>
        </w:rPr>
        <w:t xml:space="preserve">Read-Through: </w:t>
      </w:r>
      <w:r>
        <w:rPr>
          <w:rFonts w:ascii="Calibri" w:hAnsi="Calibri"/>
          <w:b/>
          <w:color w:val="30A46C"/>
          <w:sz w:val="22"/>
        </w:rPr>
        <w:t>STRONGLY POSITIVE</w:t>
      </w:r>
      <w:r>
        <w:rPr>
          <w:rFonts w:ascii="Calibri" w:hAnsi="Calibri"/>
          <w:color w:val="525866"/>
          <w:sz w:val="22"/>
        </w:rPr>
        <w:t xml:space="preserve"> for J's data center and AI infrastructure business.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 xml:space="preserve">Data center revenues in EME's network and communications segment grew </w:t>
      </w:r>
      <w:r>
        <w:rPr>
          <w:rFonts w:ascii="Calibri" w:hAnsi="Calibri"/>
          <w:b/>
          <w:color w:val="525866"/>
          <w:sz w:val="22"/>
        </w:rPr>
        <w:t>45% YoY in Q2 FY26</w:t>
      </w:r>
      <w:r>
        <w:rPr>
          <w:rFonts w:ascii="Calibri" w:hAnsi="Calibri"/>
          <w:color w:val="525866"/>
          <w:sz w:val="22"/>
        </w:rPr>
        <w:t xml:space="preserve">, with mechanical construction revenues </w:t>
      </w:r>
      <w:r>
        <w:rPr>
          <w:rFonts w:ascii="Calibri" w:hAnsi="Calibri"/>
          <w:b/>
          <w:color w:val="525866"/>
          <w:sz w:val="22"/>
        </w:rPr>
        <w:t>more than doubling YoY</w:t>
      </w:r>
      <w:r>
        <w:rPr>
          <w:rFonts w:ascii="Calibri" w:hAnsi="Calibri"/>
          <w:color w:val="525866"/>
          <w:sz w:val="22"/>
        </w:rPr>
        <w:t xml:space="preserve"> driven by cooling requirements for AI data centers — directly validating J's data center pipeline growth of 400% YoY.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>AI data centers are now 100–200MW+ projects (vs. 40–75MW for cloud storage), with a 1.5–2x mechanical multiplier and ~1.5x electrical multiplier vs. standard data centers — confirming the scope expansion J has been describing.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 xml:space="preserve">EME's total RPO reached a record </w:t>
      </w:r>
      <w:r>
        <w:rPr>
          <w:rFonts w:ascii="Calibri" w:hAnsi="Calibri"/>
          <w:b/>
          <w:color w:val="525866"/>
          <w:sz w:val="22"/>
        </w:rPr>
        <w:t>$17.14 billion (+44% YoY, +10% sequential)</w:t>
      </w:r>
      <w:r>
        <w:rPr>
          <w:rFonts w:ascii="Calibri" w:hAnsi="Calibri"/>
          <w:color w:val="525866"/>
          <w:sz w:val="22"/>
        </w:rPr>
        <w:t>, with 95% organic growth — the strongest backlog signal in the sector and a direct positive read-through for J's own record $27B backlog.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>EME raised FY26 guidance to $20–$20.5B revenue and $32–$33.25 EPS, citing "sustained demand across core market sectors."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Key structural insight: </w:t>
      </w:r>
      <w:r>
        <w:rPr>
          <w:rFonts w:ascii="Calibri" w:hAnsi="Calibri"/>
          <w:color w:val="525866"/>
          <w:sz w:val="22"/>
        </w:rPr>
        <w:t>"The percentage of annual revenue that needs to be booked and earned within the year has dropped dramatically, from 60% to about 40% this year" — indicating the entire sector is building longer-duration, higher-quality backlog.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>Semiconductor bookings up ~7% sequentially and YoY, with growth expected "later this year or early next year" — positive for J's life sciences and advanced manufacturing segment.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MTZ (MasTec) — Q2 FY26 Earnings (Reported July 31, 2026)</w:t>
      </w:r>
    </w:p>
    <w:p>
      <w:r>
        <w:rPr>
          <w:rFonts w:ascii="Calibri" w:hAnsi="Calibri"/>
          <w:b/>
          <w:color w:val="525866"/>
          <w:sz w:val="22"/>
        </w:rPr>
        <w:t xml:space="preserve">Read-Through: </w:t>
      </w:r>
      <w:r>
        <w:rPr>
          <w:rFonts w:ascii="Calibri" w:hAnsi="Calibri"/>
          <w:b/>
          <w:color w:val="30A46C"/>
          <w:sz w:val="22"/>
        </w:rPr>
        <w:t>POSITIVE</w:t>
      </w:r>
      <w:r>
        <w:rPr>
          <w:rFonts w:ascii="Calibri" w:hAnsi="Calibri"/>
          <w:color w:val="525866"/>
          <w:sz w:val="22"/>
        </w:rPr>
        <w:t xml:space="preserve"> for J's infrastructure and power/energy end markets; NEUTRAL on data center regulatory risk.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 xml:space="preserve">MasTec reported record backlog of </w:t>
      </w:r>
      <w:r>
        <w:rPr>
          <w:rFonts w:ascii="Calibri" w:hAnsi="Calibri"/>
          <w:b/>
          <w:color w:val="525866"/>
          <w:sz w:val="22"/>
        </w:rPr>
        <w:t>$21.4B (+30% YoY, +$1B sequential organic)</w:t>
      </w:r>
      <w:r>
        <w:rPr>
          <w:rFonts w:ascii="Calibri" w:hAnsi="Calibri"/>
          <w:color w:val="525866"/>
          <w:sz w:val="22"/>
        </w:rPr>
        <w:t>, with total book-to-bill of 1.2x — consistent with J's own record backlog trajectory.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CEO Jose Mas: </w:t>
      </w:r>
      <w:r>
        <w:rPr>
          <w:rFonts w:ascii="Calibri" w:hAnsi="Calibri"/>
          <w:color w:val="525866"/>
          <w:sz w:val="22"/>
        </w:rPr>
        <w:t>"The pace of project bids, negotiations and longer term development is as strong as we've ever seen" and "we are seeing unprecedented demand across our business" — directly supportive of J's infrastructure pipeline commentary.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>Power Delivery segment revenue up ~20% YoY with EBITDA up 24%; Clean Energy and Infrastructure up 43% YoY — validates J's energy and power end market strength.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On data center state bans/pauses (NY, potentially 10 more states): </w:t>
      </w:r>
      <w:r>
        <w:rPr>
          <w:rFonts w:ascii="Calibri" w:hAnsi="Calibri"/>
          <w:color w:val="525866"/>
          <w:sz w:val="22"/>
        </w:rPr>
        <w:t>CEO Mas characterized concerns as "a little bit overblown," noting communities in many parts of the country are "embracing data centers." J's data center work is primarily in design/engineering/EPCM rather than construction, making it less exposed to permitting delays.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>MasTec raised FY26 guidance to $18.2B revenue (+27% YoY), $1.6B EBITDA (+39%), and $9.30 EPS (+42%).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Key quote: </w:t>
      </w:r>
      <w:r>
        <w:rPr>
          <w:rFonts w:ascii="Calibri" w:hAnsi="Calibri"/>
          <w:color w:val="525866"/>
          <w:sz w:val="22"/>
        </w:rPr>
        <w:t>"We believe we're in the early stages of one of the largest infrastructure investment cycles we've ever seen."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TTEK (Tetra Tech) — Q3 FY26 Earnings (Reported July 30, 2026)</w:t>
      </w:r>
    </w:p>
    <w:p>
      <w:r>
        <w:rPr>
          <w:rFonts w:ascii="Calibri" w:hAnsi="Calibri"/>
          <w:b/>
          <w:color w:val="525866"/>
          <w:sz w:val="22"/>
        </w:rPr>
        <w:t xml:space="preserve">Read-Through: </w:t>
      </w:r>
      <w:r>
        <w:rPr>
          <w:rFonts w:ascii="Calibri" w:hAnsi="Calibri"/>
          <w:b/>
          <w:color w:val="30A46C"/>
          <w:sz w:val="22"/>
        </w:rPr>
        <w:t>POSITIVE</w:t>
      </w:r>
      <w:r>
        <w:rPr>
          <w:rFonts w:ascii="Calibri" w:hAnsi="Calibri"/>
          <w:color w:val="525866"/>
          <w:sz w:val="22"/>
        </w:rPr>
        <w:t xml:space="preserve"> for J's water/environmental and data center engineering segments; MIXED on federal spending.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 xml:space="preserve">TTEK Q3 FY26 net revenue of $1.1B exceeded the upper end of guidance, with backlog up </w:t>
      </w:r>
      <w:r>
        <w:rPr>
          <w:rFonts w:ascii="Calibri" w:hAnsi="Calibri"/>
          <w:b/>
          <w:color w:val="525866"/>
          <w:sz w:val="22"/>
        </w:rPr>
        <w:t>5% sequentially to ~$4.5B for the second consecutive quarter</w:t>
      </w:r>
      <w:r>
        <w:rPr>
          <w:rFonts w:ascii="Calibri" w:hAnsi="Calibri"/>
          <w:color w:val="525866"/>
          <w:sz w:val="22"/>
        </w:rPr>
        <w:t xml:space="preserve"> — positive for J's water and environmental segment recovery thesis.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Data center work expanding scope: </w:t>
      </w:r>
      <w:r>
        <w:rPr>
          <w:rFonts w:ascii="Calibri" w:hAnsi="Calibri"/>
          <w:color w:val="525866"/>
          <w:sz w:val="22"/>
        </w:rPr>
        <w:t>TTEK is moving from engineering/commissioning to feasibility studies and now power/water supply work for new data center development — validates J's expanding data center service scope and the growing addressable market.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>U.S. federal work up 12% YoY; international up 12% YoY — positive for J's critical infrastructure segment.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>TTEK raised FY26 guidance, now expecting 8% net revenue growth at midpoint with 70 bps margin expansion — consistent with J's own growth trajectory.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Modest negative: </w:t>
      </w:r>
      <w:r>
        <w:rPr>
          <w:rFonts w:ascii="Calibri" w:hAnsi="Calibri"/>
          <w:color w:val="525866"/>
          <w:sz w:val="22"/>
        </w:rPr>
        <w:t>Flood protection work saw some federal co-funding reduction (20+ states filing lawsuits) — a modest negative read-through for J's environmental services segment, though J's environmental recovery is primarily driven by data center clients committing to existing regulations.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Key quote on AI: </w:t>
      </w:r>
      <w:r>
        <w:rPr>
          <w:rFonts w:ascii="Calibri" w:hAnsi="Calibri"/>
          <w:color w:val="525866"/>
          <w:sz w:val="22"/>
        </w:rPr>
        <w:t>"For us, AI is an enabler for our technical experts... we see AI as a tool to provide better solutions to our clients and grow market share, as well as gain margin expansion on our fixed price projects" — mirrors J's own AI positioning.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WSP Global (WSP CN) — Q1 FY26 Earnings (Reported May 7, 2026)</w:t>
      </w:r>
    </w:p>
    <w:p>
      <w:r>
        <w:rPr>
          <w:rFonts w:ascii="Calibri" w:hAnsi="Calibri"/>
          <w:b/>
          <w:color w:val="525866"/>
          <w:sz w:val="22"/>
        </w:rPr>
        <w:t xml:space="preserve">Read-Through: </w:t>
      </w:r>
      <w:r>
        <w:rPr>
          <w:rFonts w:ascii="Calibri" w:hAnsi="Calibri"/>
          <w:b/>
          <w:color w:val="30A46C"/>
          <w:sz w:val="22"/>
        </w:rPr>
        <w:t>POSITIVE</w:t>
      </w:r>
      <w:r>
        <w:rPr>
          <w:rFonts w:ascii="Calibri" w:hAnsi="Calibri"/>
          <w:color w:val="525866"/>
          <w:sz w:val="22"/>
        </w:rPr>
        <w:t xml:space="preserve"> for J's engineering services demand and data center/AI positioning.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 xml:space="preserve">WSP reported 5% organic net revenue growth (normalized for billable days) with EBITDA margin of </w:t>
      </w:r>
      <w:r>
        <w:rPr>
          <w:rFonts w:ascii="Calibri" w:hAnsi="Calibri"/>
          <w:b/>
          <w:color w:val="525866"/>
          <w:sz w:val="22"/>
        </w:rPr>
        <w:t>16.8% (+80 bps YoY)</w:t>
      </w:r>
      <w:r>
        <w:rPr>
          <w:rFonts w:ascii="Calibri" w:hAnsi="Calibri"/>
          <w:color w:val="525866"/>
          <w:sz w:val="22"/>
        </w:rPr>
        <w:t xml:space="preserve"> — demonstrates that professional engineering services firms can sustain margin expansion alongside growth, validating J's own margin trajectory.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>Data center win rates of 75% with "constant inflow of extensions and new opportunities" — directly positive for J's data center pipeline.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>WSP's Power &amp; Energy business (now ~1/3 of U.S. revenues post-TRC acquisition) growing north of 10% organically — validates J's energy and power end market strength.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Key structural insight: </w:t>
      </w:r>
      <w:r>
        <w:rPr>
          <w:rFonts w:ascii="Calibri" w:hAnsi="Calibri"/>
          <w:color w:val="525866"/>
          <w:sz w:val="22"/>
        </w:rPr>
        <w:t>"Our growth is currently limited by the amount of people that we can hire" — confirms the capacity-constrained, demand-driven environment that supports J's pricing power and margin expansion.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>WSP sees a path to reach its 19–20% EBITDA margin target in 2026 (originally a 2027 target) — sets a high bar for professional services margin expansion that J is tracking toward with its own 17%+ FY29 target.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>U.S. pipeline of opportunities growing ~20% YoY with "strategic emphasis on large and complex pursuits" — consistent with J's own large-project pipeline commentary.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Overall Read-Through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End Market / Theme</w:t>
            </w:r>
          </w:p>
        </w:tc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Peer Signal</w:t>
            </w:r>
          </w:p>
        </w:tc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Read-Through for J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Data Center / AI Infrastructure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EME: +45% YoY DC revenue; MTZ: record backlog, "unprecedented demand"; WSP: 75% win rates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Strongly Positive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Backlog Growth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EME: RPO +44% YoY; MTZ: backlog +30% YoY; TTEK: backlog +5% sequential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Strongly Positive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Engineering Services Demand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WSP: capacity-constrained; TTEK: exceeded guidance; MTZ: "as strong as we've ever seen"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Strongly Positive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Margin Expansion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WSP: +80 bps YoY; EME: +40 bps gross margin; MTZ: +100 bps EBITDA margin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Positive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Water / Environmental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TTEK: backlog +5% sequential; federal flood funding reduction a modest headwind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Positive / Mixed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DC Regulatory Risk (State Bans)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MTZ: "a little bit overblown"; J's EPCM/design work less exposed than construction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Neutral / Manageable</w:t>
            </w:r>
          </w:p>
        </w:tc>
      </w:tr>
    </w:tbl>
    <w:sectPr w:rsidR="00FC693F" w:rsidRPr="0006063C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