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Jacobs Solutions (J) — Fiscal Q3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Jacobs Solutions Inc.</w:t>
            </w:r>
          </w:p>
        </w:tc>
      </w:tr>
      <w:tr>
        <w:tc>
          <w:tcPr>
            <w:tcW w:type="dxa" w:w="4320"/>
          </w:tcPr>
          <w:p>
            <w:r>
              <w:rPr>
                <w:rFonts w:ascii="Calibri" w:hAnsi="Calibri"/>
                <w:b/>
                <w:sz w:val="22"/>
              </w:rPr>
              <w:t>Ticker</w:t>
            </w:r>
          </w:p>
        </w:tc>
        <w:tc>
          <w:tcPr>
            <w:tcW w:type="dxa" w:w="4320"/>
          </w:tcPr>
          <w:p>
            <w:r>
              <w:rPr>
                <w:rFonts w:ascii="Calibri" w:hAnsi="Calibri"/>
                <w:sz w:val="22"/>
              </w:rPr>
              <w:t>J (NYSE)</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(after market close); conference call at 4:30 PM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Last Earnings</w:t>
            </w:r>
          </w:p>
        </w:tc>
        <w:tc>
          <w:tcPr>
            <w:tcW w:type="dxa" w:w="4320"/>
          </w:tcPr>
          <w:p>
            <w:r>
              <w:rPr>
                <w:rFonts w:ascii="Calibri" w:hAnsi="Calibri"/>
                <w:sz w:val="22"/>
              </w:rPr>
              <w:t>May 5, 2026 (Fiscal Q2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sits below management's own Q3 EBITDA margin guide of ~15%, and the record backlog plus accelerating data center pipeline provide strong revenue visibility — but the stock has already recovered sharply from its post-Q2 dip, so the bar for a positive reaction is higher than the numbers alone suggest.</w:t>
      </w:r>
    </w:p>
    <w:p>
      <w:r>
        <w:rPr>
          <w:rFonts w:ascii="Calibri" w:hAnsi="Calibri"/>
          <w:color w:val="525866"/>
          <w:sz w:val="22"/>
        </w:rPr>
        <w:t xml:space="preserve">Heading into fiscal Q3 2026, the setup for Jacobs is constructively bullish but not without nuance. Management guided explicitly for ~15% adjusted EBITDA margin in Q3 (a ~90 bps sequential improvement from Q2's 14.1%) and ~7.5% year-over-year net revenue growth, yet consensus sits at 15.08% margin and $2.40 billion net revenue — essentially in line with guidance, leaving little room for a miss but also limited upside surprise on the headline numbers. </w:t>
      </w:r>
      <w:r>
        <w:rPr>
          <w:rFonts w:ascii="Calibri" w:hAnsi="Calibri"/>
          <w:b/>
          <w:color w:val="525866"/>
          <w:sz w:val="22"/>
        </w:rPr>
        <w:t>The bigger swing factor is backlog and book-to-bill:</w:t>
      </w:r>
      <w:r>
        <w:rPr>
          <w:rFonts w:ascii="Calibri" w:hAnsi="Calibri"/>
          <w:color w:val="525866"/>
          <w:sz w:val="22"/>
        </w:rPr>
        <w:t xml:space="preserve"> after two consecutive quarters of record backlog (reaching $27.0 billion, up 22% YoY in Q2), the Street expects Q3 backlog of ~$27.1 billion with a book-to-bill of ~1.01x — a meaningful deceleration from Q2's 1.2x — and any upside here would be the most powerful catalyst for the stock. Management's tone since Q2 has been unambiguously confident: the company raised FY26 guidance for the second consecutive quarter, lifted FY29 EBITDA margin and FCF margin targets, and described the AI infrastructure pipeline as up 400% year-on-year with visibility extending well into FY28. </w:t>
      </w:r>
      <w:r>
        <w:rPr>
          <w:rFonts w:ascii="Calibri" w:hAnsi="Calibri"/>
          <w:b/>
          <w:color w:val="525866"/>
          <w:sz w:val="22"/>
        </w:rPr>
        <w:t>Estimate revisions have been modestly negative since the Q2 print</w:t>
      </w:r>
      <w:r>
        <w:rPr>
          <w:rFonts w:ascii="Calibri" w:hAnsi="Calibri"/>
          <w:color w:val="525866"/>
          <w:sz w:val="22"/>
        </w:rPr>
        <w:t xml:space="preserve"> — adjusted EPS for Q3 has drifted from $1.815 (post-Q2 baseline) to $1.806 currently — suggesting the Street has not fully embraced the implied margin ramp, which is the key cushion heading in. The stock fell sharply after Q2 (from $136.55 to a trough near $107 in mid-May) before recovering to ~$135 by early August, meaning the multiple has compressed from ~28x NTM P/E a year ago to ~20x today, a more reasonable entry point. The wildcard is </w:t>
      </w:r>
      <w:r>
        <w:rPr>
          <w:rFonts w:ascii="Calibri" w:hAnsi="Calibri"/>
          <w:b/>
          <w:color w:val="525866"/>
          <w:sz w:val="22"/>
        </w:rPr>
        <w:t>environmental services recovery:</w:t>
      </w:r>
      <w:r>
        <w:rPr>
          <w:rFonts w:ascii="Calibri" w:hAnsi="Calibri"/>
          <w:color w:val="525866"/>
          <w:sz w:val="22"/>
        </w:rPr>
        <w:t xml:space="preserve"> management guided for meaningful year-over-year improvement by Q4, and any early signs of inflection in Q3 bookings or commentary could be a positive surprise, while further softness would be the primary downside risk to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broadly in line with management's own Q3 guidance, making the bar neither high nor low on headline metrics — </w:t>
      </w:r>
      <w:r>
        <w:rPr>
          <w:rFonts w:ascii="Calibri" w:hAnsi="Calibri"/>
          <w:b/>
          <w:color w:val="525866"/>
          <w:sz w:val="22"/>
        </w:rPr>
        <w:t>backlog and book-to-bill are the bigger swing factors</w:t>
      </w:r>
      <w:r>
        <w:rPr>
          <w:rFonts w:ascii="Calibri" w:hAnsi="Calibri"/>
          <w:color w:val="525866"/>
          <w:sz w:val="22"/>
        </w:rPr>
        <w:t>, where the Street expects a deceleration from Q2's record pace that management's commentary suggests may be too conservative.</w:t>
      </w:r>
    </w:p>
    <w:p>
      <w:pPr>
        <w:pStyle w:val="Heading3"/>
      </w:pPr>
      <w:r>
        <w:rPr>
          <w:rFonts w:ascii="Calibri" w:hAnsi="Calibri"/>
          <w:b/>
          <w:color w:val="3B4259"/>
          <w:sz w:val="24"/>
        </w:rPr>
        <w:t>Table 1 — Current Quarter Snapshot (Fiscal Q3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2026 Actual (Last Quarter)</w:t>
            </w:r>
          </w:p>
        </w:tc>
        <w:tc>
          <w:tcPr>
            <w:tcW w:type="dxa" w:w="1234"/>
            <w:shd w:val="clear" w:color="auto" w:fill="3B4259"/>
          </w:tcPr>
          <w:p>
            <w:r>
              <w:rPr>
                <w:rFonts w:ascii="Calibri" w:hAnsi="Calibri"/>
                <w:b/>
                <w:color w:val="FFFFFF"/>
                <w:sz w:val="22"/>
              </w:rPr>
              <w:t>Q3 2025 Actual (Prior Year Period)</w:t>
            </w:r>
          </w:p>
        </w:tc>
        <w:tc>
          <w:tcPr>
            <w:tcW w:type="dxa" w:w="1234"/>
            <w:shd w:val="clear" w:color="auto" w:fill="3B4259"/>
          </w:tcPr>
          <w:p>
            <w:r>
              <w:rPr>
                <w:rFonts w:ascii="Calibri" w:hAnsi="Calibri"/>
                <w:b/>
                <w:color w:val="FFFFFF"/>
                <w:sz w:val="22"/>
              </w:rPr>
              <w:t>Q3 2026 Consensus Estimate</w:t>
            </w:r>
          </w:p>
        </w:tc>
        <w:tc>
          <w:tcPr>
            <w:tcW w:type="dxa" w:w="1234"/>
            <w:shd w:val="clear" w:color="auto" w:fill="3B4259"/>
          </w:tcPr>
          <w:p>
            <w:r>
              <w:rPr>
                <w:rFonts w:ascii="Calibri" w:hAnsi="Calibri"/>
                <w:b/>
                <w:color w:val="FFFFFF"/>
                <w:sz w:val="22"/>
              </w:rPr>
              <w:t>YoY Change (vs. Q3 2025)</w:t>
            </w:r>
          </w:p>
        </w:tc>
        <w:tc>
          <w:tcPr>
            <w:tcW w:type="dxa" w:w="1234"/>
            <w:shd w:val="clear" w:color="auto" w:fill="3B4259"/>
          </w:tcPr>
          <w:p>
            <w:r>
              <w:rPr>
                <w:rFonts w:ascii="Calibri" w:hAnsi="Calibri"/>
                <w:b/>
                <w:color w:val="FFFFFF"/>
                <w:sz w:val="22"/>
              </w:rPr>
              <w:t>Q3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Gross Revenue ($B)</w:t>
            </w:r>
          </w:p>
        </w:tc>
        <w:tc>
          <w:tcPr>
            <w:tcW w:type="dxa" w:w="1234"/>
          </w:tcPr>
          <w:p>
            <w:r>
              <w:rPr>
                <w:rFonts w:ascii="Calibri" w:hAnsi="Calibri"/>
                <w:sz w:val="22"/>
              </w:rPr>
              <w:t>$3.695B</w:t>
            </w:r>
          </w:p>
        </w:tc>
        <w:tc>
          <w:tcPr>
            <w:tcW w:type="dxa" w:w="1234"/>
          </w:tcPr>
          <w:p>
            <w:r>
              <w:rPr>
                <w:rFonts w:ascii="Calibri" w:hAnsi="Calibri"/>
                <w:sz w:val="22"/>
              </w:rPr>
              <w:t>$3.032B</w:t>
            </w:r>
          </w:p>
        </w:tc>
        <w:tc>
          <w:tcPr>
            <w:tcW w:type="dxa" w:w="1234"/>
          </w:tcPr>
          <w:p>
            <w:r>
              <w:rPr>
                <w:rFonts w:ascii="Calibri" w:hAnsi="Calibri"/>
                <w:sz w:val="22"/>
              </w:rPr>
              <w:t>$3.624B</w:t>
            </w:r>
          </w:p>
        </w:tc>
        <w:tc>
          <w:tcPr>
            <w:tcW w:type="dxa" w:w="1234"/>
          </w:tcPr>
          <w:p>
            <w:r>
              <w:rPr>
                <w:rFonts w:ascii="Calibri" w:hAnsi="Calibri"/>
                <w:sz w:val="22"/>
              </w:rPr>
              <w:t>+19.5%</w:t>
            </w:r>
          </w:p>
        </w:tc>
        <w:tc>
          <w:tcPr>
            <w:tcW w:type="dxa" w:w="1234"/>
          </w:tcPr>
          <w:p>
            <w:r>
              <w:rPr>
                <w:rFonts w:ascii="Calibri" w:hAnsi="Calibri"/>
                <w:sz w:val="22"/>
              </w:rPr>
              <w:t>~7.5% YoY net rev growth</w:t>
            </w:r>
          </w:p>
        </w:tc>
        <w:tc>
          <w:tcPr>
            <w:tcW w:type="dxa" w:w="1234"/>
          </w:tcPr>
          <w:p>
            <w:r>
              <w:rPr>
                <w:rFonts w:ascii="Calibri" w:hAnsi="Calibri"/>
                <w:sz w:val="22"/>
              </w:rPr>
              <w:t>In line</w:t>
            </w:r>
          </w:p>
        </w:tc>
      </w:tr>
      <w:tr>
        <w:tc>
          <w:tcPr>
            <w:tcW w:type="dxa" w:w="1234"/>
          </w:tcPr>
          <w:p>
            <w:r>
              <w:rPr>
                <w:rFonts w:ascii="Calibri" w:hAnsi="Calibri"/>
                <w:sz w:val="22"/>
              </w:rPr>
              <w:t>Net Revenue — Operating ($B)</w:t>
            </w:r>
          </w:p>
        </w:tc>
        <w:tc>
          <w:tcPr>
            <w:tcW w:type="dxa" w:w="1234"/>
          </w:tcPr>
          <w:p>
            <w:r>
              <w:rPr>
                <w:rFonts w:ascii="Calibri" w:hAnsi="Calibri"/>
                <w:sz w:val="22"/>
              </w:rPr>
              <w:t>$2.328B</w:t>
            </w:r>
          </w:p>
        </w:tc>
        <w:tc>
          <w:tcPr>
            <w:tcW w:type="dxa" w:w="1234"/>
          </w:tcPr>
          <w:p>
            <w:r>
              <w:rPr>
                <w:rFonts w:ascii="Calibri" w:hAnsi="Calibri"/>
                <w:sz w:val="22"/>
              </w:rPr>
              <w:t>$2.231B</w:t>
            </w:r>
          </w:p>
        </w:tc>
        <w:tc>
          <w:tcPr>
            <w:tcW w:type="dxa" w:w="1234"/>
          </w:tcPr>
          <w:p>
            <w:r>
              <w:rPr>
                <w:rFonts w:ascii="Calibri" w:hAnsi="Calibri"/>
                <w:sz w:val="22"/>
              </w:rPr>
              <w:t>$2.404B</w:t>
            </w:r>
          </w:p>
        </w:tc>
        <w:tc>
          <w:tcPr>
            <w:tcW w:type="dxa" w:w="1234"/>
          </w:tcPr>
          <w:p>
            <w:r>
              <w:rPr>
                <w:rFonts w:ascii="Calibri" w:hAnsi="Calibri"/>
                <w:sz w:val="22"/>
              </w:rPr>
              <w:t>+7.8%</w:t>
            </w:r>
          </w:p>
        </w:tc>
        <w:tc>
          <w:tcPr>
            <w:tcW w:type="dxa" w:w="1234"/>
          </w:tcPr>
          <w:p>
            <w:r>
              <w:rPr>
                <w:rFonts w:ascii="Calibri" w:hAnsi="Calibri"/>
                <w:sz w:val="22"/>
              </w:rPr>
              <w:t>~7.5% YoY growth</w:t>
            </w:r>
          </w:p>
        </w:tc>
        <w:tc>
          <w:tcPr>
            <w:tcW w:type="dxa" w:w="1234"/>
          </w:tcPr>
          <w:p>
            <w:r>
              <w:rPr>
                <w:rFonts w:ascii="Calibri" w:hAnsi="Calibri"/>
                <w:sz w:val="22"/>
              </w:rPr>
              <w:t>+0.3% above guide midpoint</w:t>
            </w:r>
          </w:p>
        </w:tc>
      </w:tr>
      <w:tr>
        <w:tc>
          <w:tcPr>
            <w:tcW w:type="dxa" w:w="1234"/>
          </w:tcPr>
          <w:p>
            <w:r>
              <w:rPr>
                <w:rFonts w:ascii="Calibri" w:hAnsi="Calibri"/>
                <w:sz w:val="22"/>
              </w:rPr>
              <w:t>Adj. EBITDA Margin — Operating (%)</w:t>
            </w:r>
          </w:p>
        </w:tc>
        <w:tc>
          <w:tcPr>
            <w:tcW w:type="dxa" w:w="1234"/>
          </w:tcPr>
          <w:p>
            <w:r>
              <w:rPr>
                <w:rFonts w:ascii="Calibri" w:hAnsi="Calibri"/>
                <w:sz w:val="22"/>
              </w:rPr>
              <w:t>14.05%</w:t>
            </w:r>
          </w:p>
        </w:tc>
        <w:tc>
          <w:tcPr>
            <w:tcW w:type="dxa" w:w="1234"/>
          </w:tcPr>
          <w:p>
            <w:r>
              <w:rPr>
                <w:rFonts w:ascii="Calibri" w:hAnsi="Calibri"/>
                <w:sz w:val="22"/>
              </w:rPr>
              <w:t>14.09%</w:t>
            </w:r>
          </w:p>
        </w:tc>
        <w:tc>
          <w:tcPr>
            <w:tcW w:type="dxa" w:w="1234"/>
          </w:tcPr>
          <w:p>
            <w:r>
              <w:rPr>
                <w:rFonts w:ascii="Calibri" w:hAnsi="Calibri"/>
                <w:sz w:val="22"/>
              </w:rPr>
              <w:t>15.08%</w:t>
            </w:r>
          </w:p>
        </w:tc>
        <w:tc>
          <w:tcPr>
            <w:tcW w:type="dxa" w:w="1234"/>
          </w:tcPr>
          <w:p>
            <w:r>
              <w:rPr>
                <w:rFonts w:ascii="Calibri" w:hAnsi="Calibri"/>
                <w:sz w:val="22"/>
              </w:rPr>
              <w:t>+99 bps</w:t>
            </w:r>
          </w:p>
        </w:tc>
        <w:tc>
          <w:tcPr>
            <w:tcW w:type="dxa" w:w="1234"/>
          </w:tcPr>
          <w:p>
            <w:r>
              <w:rPr>
                <w:rFonts w:ascii="Calibri" w:hAnsi="Calibri"/>
                <w:sz w:val="22"/>
              </w:rPr>
              <w:t>~15%</w:t>
            </w:r>
          </w:p>
        </w:tc>
        <w:tc>
          <w:tcPr>
            <w:tcW w:type="dxa" w:w="1234"/>
          </w:tcPr>
          <w:p>
            <w:r>
              <w:rPr>
                <w:rFonts w:ascii="Calibri" w:hAnsi="Calibri"/>
                <w:sz w:val="22"/>
              </w:rPr>
              <w:t>+8 bps above guide</w:t>
            </w:r>
          </w:p>
        </w:tc>
      </w:tr>
      <w:tr>
        <w:tc>
          <w:tcPr>
            <w:tcW w:type="dxa" w:w="1234"/>
          </w:tcPr>
          <w:p>
            <w:r>
              <w:rPr>
                <w:rFonts w:ascii="Calibri" w:hAnsi="Calibri"/>
                <w:sz w:val="22"/>
              </w:rPr>
              <w:t>Adj. EPS — Diluted Operating ($)</w:t>
            </w:r>
          </w:p>
        </w:tc>
        <w:tc>
          <w:tcPr>
            <w:tcW w:type="dxa" w:w="1234"/>
          </w:tcPr>
          <w:p>
            <w:r>
              <w:rPr>
                <w:rFonts w:ascii="Calibri" w:hAnsi="Calibri"/>
                <w:sz w:val="22"/>
              </w:rPr>
              <w:t>$1.731</w:t>
            </w:r>
          </w:p>
        </w:tc>
        <w:tc>
          <w:tcPr>
            <w:tcW w:type="dxa" w:w="1234"/>
          </w:tcPr>
          <w:p>
            <w:r>
              <w:rPr>
                <w:rFonts w:ascii="Calibri" w:hAnsi="Calibri"/>
                <w:sz w:val="22"/>
              </w:rPr>
              <w:t>$1.603</w:t>
            </w:r>
          </w:p>
        </w:tc>
        <w:tc>
          <w:tcPr>
            <w:tcW w:type="dxa" w:w="1234"/>
          </w:tcPr>
          <w:p>
            <w:r>
              <w:rPr>
                <w:rFonts w:ascii="Calibri" w:hAnsi="Calibri"/>
                <w:sz w:val="22"/>
              </w:rPr>
              <w:t>$1.806</w:t>
            </w:r>
          </w:p>
        </w:tc>
        <w:tc>
          <w:tcPr>
            <w:tcW w:type="dxa" w:w="1234"/>
          </w:tcPr>
          <w:p>
            <w:r>
              <w:rPr>
                <w:rFonts w:ascii="Calibri" w:hAnsi="Calibri"/>
                <w:sz w:val="22"/>
              </w:rPr>
              <w:t>+12.7%</w:t>
            </w:r>
          </w:p>
        </w:tc>
        <w:tc>
          <w:tcPr>
            <w:tcW w:type="dxa" w:w="1234"/>
          </w:tcPr>
          <w:p>
            <w:r>
              <w:rPr>
                <w:rFonts w:ascii="Calibri" w:hAnsi="Calibri"/>
                <w:sz w:val="22"/>
              </w:rPr>
              <w:t>Implied by FY26 guide ($7.10–$7.35)</w:t>
            </w:r>
          </w:p>
        </w:tc>
        <w:tc>
          <w:tcPr>
            <w:tcW w:type="dxa" w:w="1234"/>
          </w:tcPr>
          <w:p>
            <w:r>
              <w:rPr>
                <w:rFonts w:ascii="Calibri" w:hAnsi="Calibri"/>
                <w:sz w:val="22"/>
              </w:rPr>
              <w:t>In line with implied range</w:t>
            </w:r>
          </w:p>
        </w:tc>
      </w:tr>
      <w:tr>
        <w:tc>
          <w:tcPr>
            <w:tcW w:type="dxa" w:w="1234"/>
          </w:tcPr>
          <w:p>
            <w:r>
              <w:rPr>
                <w:rFonts w:ascii="Calibri" w:hAnsi="Calibri"/>
                <w:sz w:val="22"/>
              </w:rPr>
              <w:t>Total Backlog ($B)</w:t>
            </w:r>
          </w:p>
        </w:tc>
        <w:tc>
          <w:tcPr>
            <w:tcW w:type="dxa" w:w="1234"/>
          </w:tcPr>
          <w:p>
            <w:r>
              <w:rPr>
                <w:rFonts w:ascii="Calibri" w:hAnsi="Calibri"/>
                <w:sz w:val="22"/>
              </w:rPr>
              <w:t>$26.965B</w:t>
            </w:r>
          </w:p>
        </w:tc>
        <w:tc>
          <w:tcPr>
            <w:tcW w:type="dxa" w:w="1234"/>
          </w:tcPr>
          <w:p>
            <w:r>
              <w:rPr>
                <w:rFonts w:ascii="Calibri" w:hAnsi="Calibri"/>
                <w:sz w:val="22"/>
              </w:rPr>
              <w:t>$22.690B</w:t>
            </w:r>
          </w:p>
        </w:tc>
        <w:tc>
          <w:tcPr>
            <w:tcW w:type="dxa" w:w="1234"/>
          </w:tcPr>
          <w:p>
            <w:r>
              <w:rPr>
                <w:rFonts w:ascii="Calibri" w:hAnsi="Calibri"/>
                <w:sz w:val="22"/>
              </w:rPr>
              <w:t>$27.112B</w:t>
            </w:r>
          </w:p>
        </w:tc>
        <w:tc>
          <w:tcPr>
            <w:tcW w:type="dxa" w:w="1234"/>
          </w:tcPr>
          <w:p>
            <w:r>
              <w:rPr>
                <w:rFonts w:ascii="Calibri" w:hAnsi="Calibri"/>
                <w:sz w:val="22"/>
              </w:rPr>
              <w:t>+19.5%</w:t>
            </w:r>
          </w:p>
        </w:tc>
        <w:tc>
          <w:tcPr>
            <w:tcW w:type="dxa" w:w="1234"/>
          </w:tcPr>
          <w:p>
            <w:r>
              <w:rPr>
                <w:rFonts w:ascii="Calibri" w:hAnsi="Calibri"/>
                <w:sz w:val="22"/>
              </w:rPr>
              <w:t>No specific Q3 guide</w:t>
            </w:r>
          </w:p>
        </w:tc>
        <w:tc>
          <w:tcPr>
            <w:tcW w:type="dxa" w:w="1234"/>
          </w:tcPr>
          <w:p>
            <w:r>
              <w:rPr>
                <w:rFonts w:ascii="Calibri" w:hAnsi="Calibri"/>
                <w:sz w:val="22"/>
              </w:rPr>
              <w:t>N/A</w:t>
            </w:r>
          </w:p>
        </w:tc>
      </w:tr>
      <w:tr>
        <w:tc>
          <w:tcPr>
            <w:tcW w:type="dxa" w:w="1234"/>
          </w:tcPr>
          <w:p>
            <w:r>
              <w:rPr>
                <w:rFonts w:ascii="Calibri" w:hAnsi="Calibri"/>
                <w:sz w:val="22"/>
              </w:rPr>
              <w:t>Book-to-Bill Ratio (x)</w:t>
            </w:r>
          </w:p>
        </w:tc>
        <w:tc>
          <w:tcPr>
            <w:tcW w:type="dxa" w:w="1234"/>
          </w:tcPr>
          <w:p>
            <w:r>
              <w:rPr>
                <w:rFonts w:ascii="Calibri" w:hAnsi="Calibri"/>
                <w:sz w:val="22"/>
              </w:rPr>
              <w:t>1.16x</w:t>
            </w:r>
          </w:p>
        </w:tc>
        <w:tc>
          <w:tcPr>
            <w:tcW w:type="dxa" w:w="1234"/>
          </w:tcPr>
          <w:p>
            <w:r>
              <w:rPr>
                <w:rFonts w:ascii="Calibri" w:hAnsi="Calibri"/>
                <w:sz w:val="22"/>
              </w:rPr>
              <w:t>1.15x</w:t>
            </w:r>
          </w:p>
        </w:tc>
        <w:tc>
          <w:tcPr>
            <w:tcW w:type="dxa" w:w="1234"/>
          </w:tcPr>
          <w:p>
            <w:r>
              <w:rPr>
                <w:rFonts w:ascii="Calibri" w:hAnsi="Calibri"/>
                <w:sz w:val="22"/>
              </w:rPr>
              <w:t>1.01x</w:t>
            </w:r>
          </w:p>
        </w:tc>
        <w:tc>
          <w:tcPr>
            <w:tcW w:type="dxa" w:w="1234"/>
          </w:tcPr>
          <w:p>
            <w:r>
              <w:rPr>
                <w:rFonts w:ascii="Calibri" w:hAnsi="Calibri"/>
                <w:sz w:val="22"/>
              </w:rPr>
              <w:t>-14 bps</w:t>
            </w:r>
          </w:p>
        </w:tc>
        <w:tc>
          <w:tcPr>
            <w:tcW w:type="dxa" w:w="1234"/>
          </w:tcPr>
          <w:p>
            <w:r>
              <w:rPr>
                <w:rFonts w:ascii="Calibri" w:hAnsi="Calibri"/>
                <w:sz w:val="22"/>
              </w:rPr>
              <w:t>No specific Q3 guide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-$272M (adj. outflow; PA-related)</w:t>
            </w:r>
          </w:p>
        </w:tc>
        <w:tc>
          <w:tcPr>
            <w:tcW w:type="dxa" w:w="1234"/>
          </w:tcPr>
          <w:p>
            <w:r>
              <w:rPr>
                <w:rFonts w:ascii="Calibri" w:hAnsi="Calibri"/>
                <w:sz w:val="22"/>
              </w:rPr>
              <w:t>$271M</w:t>
            </w:r>
          </w:p>
        </w:tc>
        <w:tc>
          <w:tcPr>
            <w:tcW w:type="dxa" w:w="1234"/>
          </w:tcPr>
          <w:p>
            <w:r>
              <w:rPr>
                <w:rFonts w:ascii="Calibri" w:hAnsi="Calibri"/>
                <w:sz w:val="22"/>
              </w:rPr>
              <w:t>$233M</w:t>
            </w:r>
          </w:p>
        </w:tc>
        <w:tc>
          <w:tcPr>
            <w:tcW w:type="dxa" w:w="1234"/>
          </w:tcPr>
          <w:p>
            <w:r>
              <w:rPr>
                <w:rFonts w:ascii="Calibri" w:hAnsi="Calibri"/>
                <w:sz w:val="22"/>
              </w:rPr>
              <w:t>-14.0%</w:t>
            </w:r>
          </w:p>
        </w:tc>
        <w:tc>
          <w:tcPr>
            <w:tcW w:type="dxa" w:w="1234"/>
          </w:tcPr>
          <w:p>
            <w:r>
              <w:rPr>
                <w:rFonts w:ascii="Calibri" w:hAnsi="Calibri"/>
                <w:sz w:val="22"/>
              </w:rPr>
              <w:t>H2 FCF $600–$700M (FY guide 7%–8.5% margin)</w:t>
            </w:r>
          </w:p>
        </w:tc>
        <w:tc>
          <w:tcPr>
            <w:tcW w:type="dxa" w:w="1234"/>
          </w:tcPr>
          <w:p>
            <w:r>
              <w:rPr>
                <w:rFonts w:ascii="Calibri" w:hAnsi="Calibri"/>
                <w:sz w:val="22"/>
              </w:rPr>
              <w:t>In line</w:t>
            </w:r>
          </w:p>
        </w:tc>
      </w:tr>
    </w:tbl>
    <w:p>
      <w:r>
        <w:rPr>
          <w:rFonts w:ascii="Calibri" w:hAnsi="Calibri"/>
          <w:i/>
          <w:color w:val="525866"/>
          <w:sz w:val="22"/>
        </w:rPr>
        <w:t>Sources: Visible Alpha Consensus and Actuals Data; Jacobs Q2 2026 Earnings Release and Transcript (May 5, 2026). All consensus figures as of August 3, 2026.</w:t>
      </w:r>
    </w:p>
    <w:p>
      <w:pPr>
        <w:pStyle w:val="Heading3"/>
      </w:pPr>
      <w:r>
        <w:rPr>
          <w:rFonts w:ascii="Calibri" w:hAnsi="Calibri"/>
          <w:b/>
          <w:color w:val="3B4259"/>
          <w:sz w:val="24"/>
        </w:rPr>
        <w:t>Table 2 — Beat/Miss History: Last 8 Quarters (Top 2 KPIs: Adj. EPS &amp; Total Backlog)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$1.887</w:t>
            </w:r>
          </w:p>
        </w:tc>
        <w:tc>
          <w:tcPr>
            <w:tcW w:type="dxa" w:w="1440"/>
          </w:tcPr>
          <w:p>
            <w:r>
              <w:rPr>
                <w:rFonts w:ascii="Calibri" w:hAnsi="Calibri"/>
                <w:sz w:val="22"/>
              </w:rPr>
              <w:t>$1.944</w:t>
            </w:r>
          </w:p>
        </w:tc>
        <w:tc>
          <w:tcPr>
            <w:tcW w:type="dxa" w:w="1440"/>
          </w:tcPr>
          <w:p>
            <w:r>
              <w:rPr>
                <w:rFonts w:ascii="Calibri" w:hAnsi="Calibri"/>
                <w:sz w:val="22"/>
              </w:rPr>
              <w:t>-2.9%</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Total Backlog</w:t>
            </w:r>
          </w:p>
        </w:tc>
        <w:tc>
          <w:tcPr>
            <w:tcW w:type="dxa" w:w="1440"/>
          </w:tcPr>
          <w:p>
            <w:r>
              <w:rPr>
                <w:rFonts w:ascii="Calibri" w:hAnsi="Calibri"/>
                <w:sz w:val="22"/>
              </w:rPr>
              <w:t>$19.86B</w:t>
            </w:r>
          </w:p>
        </w:tc>
        <w:tc>
          <w:tcPr>
            <w:tcW w:type="dxa" w:w="1440"/>
          </w:tcPr>
          <w:p>
            <w:r>
              <w:rPr>
                <w:rFonts w:ascii="Calibri" w:hAnsi="Calibri"/>
                <w:sz w:val="22"/>
              </w:rPr>
              <w:t>$29.82B</w:t>
            </w:r>
          </w:p>
        </w:tc>
        <w:tc>
          <w:tcPr>
            <w:tcW w:type="dxa" w:w="1440"/>
          </w:tcPr>
          <w:p>
            <w:r>
              <w:rPr>
                <w:rFonts w:ascii="Calibri" w:hAnsi="Calibri"/>
                <w:sz w:val="22"/>
              </w:rPr>
              <w:t>-33.4%</w:t>
            </w:r>
          </w:p>
        </w:tc>
        <w:tc>
          <w:tcPr>
            <w:tcW w:type="dxa" w:w="1440"/>
          </w:tcPr>
          <w:p>
            <w:r>
              <w:rPr>
                <w:rFonts w:ascii="Calibri" w:hAnsi="Calibri"/>
                <w:b/>
                <w:color w:val="E5484D"/>
                <w:sz w:val="22"/>
              </w:rPr>
              <w:t>Miss (reorg period)</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$1.647</w:t>
            </w:r>
          </w:p>
        </w:tc>
        <w:tc>
          <w:tcPr>
            <w:tcW w:type="dxa" w:w="1440"/>
          </w:tcPr>
          <w:p>
            <w:r>
              <w:rPr>
                <w:rFonts w:ascii="Calibri" w:hAnsi="Calibri"/>
                <w:sz w:val="22"/>
              </w:rPr>
              <w:t>$1.367</w:t>
            </w:r>
          </w:p>
        </w:tc>
        <w:tc>
          <w:tcPr>
            <w:tcW w:type="dxa" w:w="1440"/>
          </w:tcPr>
          <w:p>
            <w:r>
              <w:rPr>
                <w:rFonts w:ascii="Calibri" w:hAnsi="Calibri"/>
                <w:sz w:val="22"/>
              </w:rPr>
              <w:t>+20.5%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Backlog</w:t>
            </w:r>
          </w:p>
        </w:tc>
        <w:tc>
          <w:tcPr>
            <w:tcW w:type="dxa" w:w="1440"/>
          </w:tcPr>
          <w:p>
            <w:r>
              <w:rPr>
                <w:rFonts w:ascii="Calibri" w:hAnsi="Calibri"/>
                <w:sz w:val="22"/>
              </w:rPr>
              <w:t>$21.85B</w:t>
            </w:r>
          </w:p>
        </w:tc>
        <w:tc>
          <w:tcPr>
            <w:tcW w:type="dxa" w:w="1440"/>
          </w:tcPr>
          <w:p>
            <w:r>
              <w:rPr>
                <w:rFonts w:ascii="Calibri" w:hAnsi="Calibri"/>
                <w:sz w:val="22"/>
              </w:rPr>
              <w:t>$30.74B</w:t>
            </w:r>
          </w:p>
        </w:tc>
        <w:tc>
          <w:tcPr>
            <w:tcW w:type="dxa" w:w="1440"/>
          </w:tcPr>
          <w:p>
            <w:r>
              <w:rPr>
                <w:rFonts w:ascii="Calibri" w:hAnsi="Calibri"/>
                <w:sz w:val="22"/>
              </w:rPr>
              <w:t>-28.9%</w:t>
            </w:r>
          </w:p>
        </w:tc>
        <w:tc>
          <w:tcPr>
            <w:tcW w:type="dxa" w:w="1440"/>
          </w:tcPr>
          <w:p>
            <w:r>
              <w:rPr>
                <w:rFonts w:ascii="Calibri" w:hAnsi="Calibri"/>
                <w:b/>
                <w:color w:val="E5484D"/>
                <w:sz w:val="22"/>
              </w:rPr>
              <w:t>Miss (reorg period)</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$1.323</w:t>
            </w:r>
          </w:p>
        </w:tc>
        <w:tc>
          <w:tcPr>
            <w:tcW w:type="dxa" w:w="1440"/>
          </w:tcPr>
          <w:p>
            <w:r>
              <w:rPr>
                <w:rFonts w:ascii="Calibri" w:hAnsi="Calibri"/>
                <w:sz w:val="22"/>
              </w:rPr>
              <w:t>$1.230</w:t>
            </w:r>
          </w:p>
        </w:tc>
        <w:tc>
          <w:tcPr>
            <w:tcW w:type="dxa" w:w="1440"/>
          </w:tcPr>
          <w:p>
            <w:r>
              <w:rPr>
                <w:rFonts w:ascii="Calibri" w:hAnsi="Calibri"/>
                <w:sz w:val="22"/>
              </w:rPr>
              <w:t>+7.6%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Backlog</w:t>
            </w:r>
          </w:p>
        </w:tc>
        <w:tc>
          <w:tcPr>
            <w:tcW w:type="dxa" w:w="1440"/>
          </w:tcPr>
          <w:p>
            <w:r>
              <w:rPr>
                <w:rFonts w:ascii="Calibri" w:hAnsi="Calibri"/>
                <w:sz w:val="22"/>
              </w:rPr>
              <w:t>$21.82B</w:t>
            </w:r>
          </w:p>
        </w:tc>
        <w:tc>
          <w:tcPr>
            <w:tcW w:type="dxa" w:w="1440"/>
          </w:tcPr>
          <w:p>
            <w:r>
              <w:rPr>
                <w:rFonts w:ascii="Calibri" w:hAnsi="Calibri"/>
                <w:sz w:val="22"/>
              </w:rPr>
              <w:t>$21.93B</w:t>
            </w:r>
          </w:p>
        </w:tc>
        <w:tc>
          <w:tcPr>
            <w:tcW w:type="dxa" w:w="1440"/>
          </w:tcPr>
          <w:p>
            <w:r>
              <w:rPr>
                <w:rFonts w:ascii="Calibri" w:hAnsi="Calibri"/>
                <w:sz w:val="22"/>
              </w:rPr>
              <w:t>-0.5%</w:t>
            </w:r>
          </w:p>
        </w:tc>
        <w:tc>
          <w:tcPr>
            <w:tcW w:type="dxa" w:w="1440"/>
          </w:tcPr>
          <w:p>
            <w:r>
              <w:rPr>
                <w:rFonts w:ascii="Calibri" w:hAnsi="Calibri"/>
                <w:b/>
                <w:color w:val="30A46C"/>
                <w:sz w:val="22"/>
              </w:rPr>
              <w:t>In Line</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$1.386</w:t>
            </w:r>
          </w:p>
        </w:tc>
        <w:tc>
          <w:tcPr>
            <w:tcW w:type="dxa" w:w="1440"/>
          </w:tcPr>
          <w:p>
            <w:r>
              <w:rPr>
                <w:rFonts w:ascii="Calibri" w:hAnsi="Calibri"/>
                <w:sz w:val="22"/>
              </w:rPr>
              <w:t>$1.394</w:t>
            </w:r>
          </w:p>
        </w:tc>
        <w:tc>
          <w:tcPr>
            <w:tcW w:type="dxa" w:w="1440"/>
          </w:tcPr>
          <w:p>
            <w:r>
              <w:rPr>
                <w:rFonts w:ascii="Calibri" w:hAnsi="Calibri"/>
                <w:sz w:val="22"/>
              </w:rPr>
              <w:t>-0.6%</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Total Backlog</w:t>
            </w:r>
          </w:p>
        </w:tc>
        <w:tc>
          <w:tcPr>
            <w:tcW w:type="dxa" w:w="1440"/>
          </w:tcPr>
          <w:p>
            <w:r>
              <w:rPr>
                <w:rFonts w:ascii="Calibri" w:hAnsi="Calibri"/>
                <w:sz w:val="22"/>
              </w:rPr>
              <w:t>$22.16B</w:t>
            </w:r>
          </w:p>
        </w:tc>
        <w:tc>
          <w:tcPr>
            <w:tcW w:type="dxa" w:w="1440"/>
          </w:tcPr>
          <w:p>
            <w:r>
              <w:rPr>
                <w:rFonts w:ascii="Calibri" w:hAnsi="Calibri"/>
                <w:sz w:val="22"/>
              </w:rPr>
              <w:t>$22.10B</w:t>
            </w:r>
          </w:p>
        </w:tc>
        <w:tc>
          <w:tcPr>
            <w:tcW w:type="dxa" w:w="1440"/>
          </w:tcPr>
          <w:p>
            <w:r>
              <w:rPr>
                <w:rFonts w:ascii="Calibri" w:hAnsi="Calibri"/>
                <w:sz w:val="22"/>
              </w:rPr>
              <w:t>+0.3%</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$1.603</w:t>
            </w:r>
          </w:p>
        </w:tc>
        <w:tc>
          <w:tcPr>
            <w:tcW w:type="dxa" w:w="1440"/>
          </w:tcPr>
          <w:p>
            <w:r>
              <w:rPr>
                <w:rFonts w:ascii="Calibri" w:hAnsi="Calibri"/>
                <w:sz w:val="22"/>
              </w:rPr>
              <w:t>$1.522</w:t>
            </w:r>
          </w:p>
        </w:tc>
        <w:tc>
          <w:tcPr>
            <w:tcW w:type="dxa" w:w="1440"/>
          </w:tcPr>
          <w:p>
            <w:r>
              <w:rPr>
                <w:rFonts w:ascii="Calibri" w:hAnsi="Calibri"/>
                <w:sz w:val="22"/>
              </w:rPr>
              <w:t>+5.3%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Backlog</w:t>
            </w:r>
          </w:p>
        </w:tc>
        <w:tc>
          <w:tcPr>
            <w:tcW w:type="dxa" w:w="1440"/>
          </w:tcPr>
          <w:p>
            <w:r>
              <w:rPr>
                <w:rFonts w:ascii="Calibri" w:hAnsi="Calibri"/>
                <w:sz w:val="22"/>
              </w:rPr>
              <w:t>$22.69B</w:t>
            </w:r>
          </w:p>
        </w:tc>
        <w:tc>
          <w:tcPr>
            <w:tcW w:type="dxa" w:w="1440"/>
          </w:tcPr>
          <w:p>
            <w:r>
              <w:rPr>
                <w:rFonts w:ascii="Calibri" w:hAnsi="Calibri"/>
                <w:sz w:val="22"/>
              </w:rPr>
              <w:t>$22.31B</w:t>
            </w:r>
          </w:p>
        </w:tc>
        <w:tc>
          <w:tcPr>
            <w:tcW w:type="dxa" w:w="1440"/>
          </w:tcPr>
          <w:p>
            <w:r>
              <w:rPr>
                <w:rFonts w:ascii="Calibri" w:hAnsi="Calibri"/>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$1.614</w:t>
            </w:r>
          </w:p>
        </w:tc>
        <w:tc>
          <w:tcPr>
            <w:tcW w:type="dxa" w:w="1440"/>
          </w:tcPr>
          <w:p>
            <w:r>
              <w:rPr>
                <w:rFonts w:ascii="Calibri" w:hAnsi="Calibri"/>
                <w:sz w:val="22"/>
              </w:rPr>
              <w:t>$1.690</w:t>
            </w:r>
          </w:p>
        </w:tc>
        <w:tc>
          <w:tcPr>
            <w:tcW w:type="dxa" w:w="1440"/>
          </w:tcPr>
          <w:p>
            <w:r>
              <w:rPr>
                <w:rFonts w:ascii="Calibri" w:hAnsi="Calibri"/>
                <w:sz w:val="22"/>
              </w:rPr>
              <w:t>-4.5%</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Total Backlog</w:t>
            </w:r>
          </w:p>
        </w:tc>
        <w:tc>
          <w:tcPr>
            <w:tcW w:type="dxa" w:w="1440"/>
          </w:tcPr>
          <w:p>
            <w:r>
              <w:rPr>
                <w:rFonts w:ascii="Calibri" w:hAnsi="Calibri"/>
                <w:sz w:val="22"/>
              </w:rPr>
              <w:t>$23.06B</w:t>
            </w:r>
          </w:p>
        </w:tc>
        <w:tc>
          <w:tcPr>
            <w:tcW w:type="dxa" w:w="1440"/>
          </w:tcPr>
          <w:p>
            <w:r>
              <w:rPr>
                <w:rFonts w:ascii="Calibri" w:hAnsi="Calibri"/>
                <w:sz w:val="22"/>
              </w:rPr>
              <w:t>$22.94B</w:t>
            </w:r>
          </w:p>
        </w:tc>
        <w:tc>
          <w:tcPr>
            <w:tcW w:type="dxa" w:w="1440"/>
          </w:tcPr>
          <w:p>
            <w:r>
              <w:rPr>
                <w:rFonts w:ascii="Calibri" w:hAnsi="Calibri"/>
                <w:sz w:val="22"/>
              </w:rPr>
              <w:t>+0.5%</w:t>
            </w:r>
          </w:p>
        </w:tc>
        <w:tc>
          <w:tcPr>
            <w:tcW w:type="dxa" w:w="1440"/>
          </w:tcPr>
          <w:p>
            <w:r>
              <w:rPr>
                <w:rFonts w:ascii="Calibri" w:hAnsi="Calibri"/>
                <w:sz w:val="22"/>
              </w:rPr>
              <w:t>In Line</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$1.533</w:t>
            </w:r>
          </w:p>
        </w:tc>
        <w:tc>
          <w:tcPr>
            <w:tcW w:type="dxa" w:w="1440"/>
          </w:tcPr>
          <w:p>
            <w:r>
              <w:rPr>
                <w:rFonts w:ascii="Calibri" w:hAnsi="Calibri"/>
                <w:sz w:val="22"/>
              </w:rPr>
              <w:t>$1.482</w:t>
            </w:r>
          </w:p>
        </w:tc>
        <w:tc>
          <w:tcPr>
            <w:tcW w:type="dxa" w:w="1440"/>
          </w:tcPr>
          <w:p>
            <w:r>
              <w:rPr>
                <w:rFonts w:ascii="Calibri" w:hAnsi="Calibri"/>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Total Backlog</w:t>
            </w:r>
          </w:p>
        </w:tc>
        <w:tc>
          <w:tcPr>
            <w:tcW w:type="dxa" w:w="1440"/>
          </w:tcPr>
          <w:p>
            <w:r>
              <w:rPr>
                <w:rFonts w:ascii="Calibri" w:hAnsi="Calibri"/>
                <w:sz w:val="22"/>
              </w:rPr>
              <w:t>$26.31B</w:t>
            </w:r>
          </w:p>
        </w:tc>
        <w:tc>
          <w:tcPr>
            <w:tcW w:type="dxa" w:w="1440"/>
          </w:tcPr>
          <w:p>
            <w:r>
              <w:rPr>
                <w:rFonts w:ascii="Calibri" w:hAnsi="Calibri"/>
                <w:sz w:val="22"/>
              </w:rPr>
              <w:t>$23.11B</w:t>
            </w:r>
          </w:p>
        </w:tc>
        <w:tc>
          <w:tcPr>
            <w:tcW w:type="dxa" w:w="1440"/>
          </w:tcPr>
          <w:p>
            <w:r>
              <w:rPr>
                <w:rFonts w:ascii="Calibri" w:hAnsi="Calibri"/>
                <w:sz w:val="22"/>
              </w:rPr>
              <w:t>+13.8%</w:t>
            </w:r>
          </w:p>
        </w:tc>
        <w:tc>
          <w:tcPr>
            <w:tcW w:type="dxa" w:w="1440"/>
          </w:tcPr>
          <w:p>
            <w:r>
              <w:rPr>
                <w:rFonts w:ascii="Calibri" w:hAnsi="Calibri"/>
                <w:b/>
                <w:color w:val="30A46C"/>
                <w:sz w:val="22"/>
              </w:rPr>
              <w:t>Beat (PA consolidation)</w:t>
            </w:r>
          </w:p>
        </w:tc>
      </w:tr>
      <w:tr>
        <w:tc>
          <w:tcPr>
            <w:tcW w:type="dxa" w:w="1440"/>
          </w:tcPr>
          <w:p>
            <w:r>
              <w:rPr>
                <w:rFonts w:ascii="Calibri" w:hAnsi="Calibri"/>
                <w:sz w:val="22"/>
              </w:rPr>
              <w:t>Q2 2026</w:t>
            </w:r>
          </w:p>
        </w:tc>
        <w:tc>
          <w:tcPr>
            <w:tcW w:type="dxa" w:w="1440"/>
          </w:tcPr>
          <w:p>
            <w:r>
              <w:rPr>
                <w:rFonts w:ascii="Calibri" w:hAnsi="Calibri"/>
                <w:sz w:val="22"/>
              </w:rPr>
              <w:t>Adj. EPS</w:t>
            </w:r>
          </w:p>
        </w:tc>
        <w:tc>
          <w:tcPr>
            <w:tcW w:type="dxa" w:w="1440"/>
          </w:tcPr>
          <w:p>
            <w:r>
              <w:rPr>
                <w:rFonts w:ascii="Calibri" w:hAnsi="Calibri"/>
                <w:sz w:val="22"/>
              </w:rPr>
              <w:t>$1.731</w:t>
            </w:r>
          </w:p>
        </w:tc>
        <w:tc>
          <w:tcPr>
            <w:tcW w:type="dxa" w:w="1440"/>
          </w:tcPr>
          <w:p>
            <w:r>
              <w:rPr>
                <w:rFonts w:ascii="Calibri" w:hAnsi="Calibri"/>
                <w:sz w:val="22"/>
              </w:rPr>
              <w:t>$1.631</w:t>
            </w:r>
          </w:p>
        </w:tc>
        <w:tc>
          <w:tcPr>
            <w:tcW w:type="dxa" w:w="1440"/>
          </w:tcPr>
          <w:p>
            <w:r>
              <w:rPr>
                <w:rFonts w:ascii="Calibri" w:hAnsi="Calibri"/>
                <w:sz w:val="22"/>
              </w:rPr>
              <w:t>+6.1%</w:t>
            </w:r>
          </w:p>
        </w:tc>
        <w:tc>
          <w:tcPr>
            <w:tcW w:type="dxa" w:w="1440"/>
          </w:tcPr>
          <w:p>
            <w:r>
              <w:rPr>
                <w:rFonts w:ascii="Calibri" w:hAnsi="Calibri"/>
                <w:b/>
                <w:color w:val="30A46C"/>
                <w:sz w:val="22"/>
              </w:rPr>
              <w:t>Beat</w:t>
            </w:r>
          </w:p>
        </w:tc>
      </w:tr>
      <w:tr>
        <w:tc>
          <w:tcPr>
            <w:tcW w:type="dxa" w:w="1440"/>
          </w:tcPr>
          <w:p>
            <w:r>
              <w:rPr>
                <w:rFonts w:ascii="Calibri" w:hAnsi="Calibri"/>
                <w:sz w:val="22"/>
              </w:rPr>
              <w:t>Q2 2026</w:t>
            </w:r>
          </w:p>
        </w:tc>
        <w:tc>
          <w:tcPr>
            <w:tcW w:type="dxa" w:w="1440"/>
          </w:tcPr>
          <w:p>
            <w:r>
              <w:rPr>
                <w:rFonts w:ascii="Calibri" w:hAnsi="Calibri"/>
                <w:sz w:val="22"/>
              </w:rPr>
              <w:t>Total Backlog</w:t>
            </w:r>
          </w:p>
        </w:tc>
        <w:tc>
          <w:tcPr>
            <w:tcW w:type="dxa" w:w="1440"/>
          </w:tcPr>
          <w:p>
            <w:r>
              <w:rPr>
                <w:rFonts w:ascii="Calibri" w:hAnsi="Calibri"/>
                <w:sz w:val="22"/>
              </w:rPr>
              <w:t>$26.97B</w:t>
            </w:r>
          </w:p>
        </w:tc>
        <w:tc>
          <w:tcPr>
            <w:tcW w:type="dxa" w:w="1440"/>
          </w:tcPr>
          <w:p>
            <w:r>
              <w:rPr>
                <w:rFonts w:ascii="Calibri" w:hAnsi="Calibri"/>
                <w:sz w:val="22"/>
              </w:rPr>
              <w:t>$26.35B</w:t>
            </w:r>
          </w:p>
        </w:tc>
        <w:tc>
          <w:tcPr>
            <w:tcW w:type="dxa" w:w="1440"/>
          </w:tcPr>
          <w:p>
            <w:r>
              <w:rPr>
                <w:rFonts w:ascii="Calibri" w:hAnsi="Calibri"/>
                <w:sz w:val="22"/>
              </w:rPr>
              <w:t>+2.4%</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Jacobs has beaten on adjusted EPS in 4 of the last 5 cleanly comparable quarters (post-CMS separation), with the Q4 2025 miss the only exception. Backlog has consistently met or beaten consensus in the post-separation period, with Q1 2026 a large beat driven by PA Consulting consolidation. The Q3/Q4 2024 backlog misses reflect the government services separation restructuring and are not indicative of underlying demand.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FY26 guidance for the second consecutive quarter at the Q2 print and provided explicit Q3 margin and revenue growth targets — </w:t>
      </w:r>
      <w:r>
        <w:rPr>
          <w:rFonts w:ascii="Calibri" w:hAnsi="Calibri"/>
          <w:b/>
          <w:color w:val="525866"/>
          <w:sz w:val="22"/>
        </w:rPr>
        <w:t>no post-Q2 guidance revisions have been issued</w:t>
      </w:r>
      <w:r>
        <w:rPr>
          <w:rFonts w:ascii="Calibri" w:hAnsi="Calibri"/>
          <w:color w:val="525866"/>
          <w:sz w:val="22"/>
        </w:rPr>
        <w:t>, and tone remains highly confident heading into Q3.</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2026 Earnings Call, May 5, 2026)</w:t>
            </w:r>
          </w:p>
        </w:tc>
        <w:tc>
          <w:tcPr>
            <w:tcW w:type="dxa" w:w="1728"/>
            <w:shd w:val="clear" w:color="auto" w:fill="3B4259"/>
          </w:tcPr>
          <w:p>
            <w:r>
              <w:rPr>
                <w:rFonts w:ascii="Calibri" w:hAnsi="Calibri"/>
                <w:b/>
                <w:color w:val="FFFFFF"/>
                <w:sz w:val="22"/>
              </w:rPr>
              <w:t>Revised Guidance (Post-Q2 Event)</w:t>
            </w:r>
          </w:p>
        </w:tc>
        <w:tc>
          <w:tcPr>
            <w:tcW w:type="dxa" w:w="1728"/>
            <w:shd w:val="clear" w:color="auto" w:fill="3B4259"/>
          </w:tcPr>
          <w:p>
            <w:r>
              <w:rPr>
                <w:rFonts w:ascii="Calibri" w:hAnsi="Calibri"/>
                <w:b/>
                <w:color w:val="FFFFFF"/>
                <w:sz w:val="22"/>
              </w:rPr>
              <w:t>Current Consensus (Aug 3, 2026)</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FY26 Adj. Net Revenue Growth</w:t>
            </w:r>
          </w:p>
        </w:tc>
        <w:tc>
          <w:tcPr>
            <w:tcW w:type="dxa" w:w="1728"/>
          </w:tcPr>
          <w:p>
            <w:r>
              <w:rPr>
                <w:rFonts w:ascii="Calibri" w:hAnsi="Calibri"/>
                <w:sz w:val="22"/>
              </w:rPr>
              <w:t>8.0%–10.5% YoY (raised from 6.5%–10.0%)</w:t>
            </w:r>
          </w:p>
        </w:tc>
        <w:tc>
          <w:tcPr>
            <w:tcW w:type="dxa" w:w="1728"/>
          </w:tcPr>
          <w:p>
            <w:r>
              <w:rPr>
                <w:rFonts w:ascii="Calibri" w:hAnsi="Calibri"/>
                <w:sz w:val="22"/>
              </w:rPr>
              <w:t>—</w:t>
            </w:r>
          </w:p>
        </w:tc>
        <w:tc>
          <w:tcPr>
            <w:tcW w:type="dxa" w:w="1728"/>
          </w:tcPr>
          <w:p>
            <w:r>
              <w:rPr>
                <w:rFonts w:ascii="Calibri" w:hAnsi="Calibri"/>
                <w:sz w:val="22"/>
              </w:rPr>
              <w:t>~9.5% implied by consensus net rev of ~$9.48B vs. FY25 ~$8.65B</w:t>
            </w:r>
          </w:p>
        </w:tc>
        <w:tc>
          <w:tcPr>
            <w:tcW w:type="dxa" w:w="1728"/>
          </w:tcPr>
          <w:p>
            <w:r>
              <w:rPr>
                <w:rFonts w:ascii="Calibri" w:hAnsi="Calibri"/>
                <w:sz w:val="22"/>
              </w:rPr>
              <w:t>No post-Q2 change; consensus tracking midpoint of guide</w:t>
            </w:r>
          </w:p>
        </w:tc>
      </w:tr>
      <w:tr>
        <w:tc>
          <w:tcPr>
            <w:tcW w:type="dxa" w:w="1728"/>
          </w:tcPr>
          <w:p>
            <w:r>
              <w:rPr>
                <w:rFonts w:ascii="Calibri" w:hAnsi="Calibri"/>
                <w:sz w:val="22"/>
              </w:rPr>
              <w:t>FY26 Adj. EBITDA Margin</w:t>
            </w:r>
          </w:p>
        </w:tc>
        <w:tc>
          <w:tcPr>
            <w:tcW w:type="dxa" w:w="1728"/>
          </w:tcPr>
          <w:p>
            <w:r>
              <w:rPr>
                <w:rFonts w:ascii="Calibri" w:hAnsi="Calibri"/>
                <w:sz w:val="22"/>
              </w:rPr>
              <w:t>14.6%–14.9% (raised from 14.4%–14.7%)</w:t>
            </w:r>
          </w:p>
        </w:tc>
        <w:tc>
          <w:tcPr>
            <w:tcW w:type="dxa" w:w="1728"/>
          </w:tcPr>
          <w:p>
            <w:r>
              <w:rPr>
                <w:rFonts w:ascii="Calibri" w:hAnsi="Calibri"/>
                <w:sz w:val="22"/>
              </w:rPr>
              <w:t>—</w:t>
            </w:r>
          </w:p>
        </w:tc>
        <w:tc>
          <w:tcPr>
            <w:tcW w:type="dxa" w:w="1728"/>
          </w:tcPr>
          <w:p>
            <w:r>
              <w:rPr>
                <w:rFonts w:ascii="Calibri" w:hAnsi="Calibri"/>
                <w:sz w:val="22"/>
              </w:rPr>
              <w:t>14.73%</w:t>
            </w:r>
          </w:p>
        </w:tc>
        <w:tc>
          <w:tcPr>
            <w:tcW w:type="dxa" w:w="1728"/>
          </w:tcPr>
          <w:p>
            <w:r>
              <w:rPr>
                <w:rFonts w:ascii="Calibri" w:hAnsi="Calibri"/>
                <w:sz w:val="22"/>
              </w:rPr>
              <w:t>No post-Q2 change; consensus at midpoint of guide</w:t>
            </w:r>
          </w:p>
        </w:tc>
      </w:tr>
      <w:tr>
        <w:tc>
          <w:tcPr>
            <w:tcW w:type="dxa" w:w="1728"/>
          </w:tcPr>
          <w:p>
            <w:r>
              <w:rPr>
                <w:rFonts w:ascii="Calibri" w:hAnsi="Calibri"/>
                <w:sz w:val="22"/>
              </w:rPr>
              <w:t>FY26 Adj. EPS</w:t>
            </w:r>
          </w:p>
        </w:tc>
        <w:tc>
          <w:tcPr>
            <w:tcW w:type="dxa" w:w="1728"/>
          </w:tcPr>
          <w:p>
            <w:r>
              <w:rPr>
                <w:rFonts w:ascii="Calibri" w:hAnsi="Calibri"/>
                <w:sz w:val="22"/>
              </w:rPr>
              <w:t>$7.10–$7.35 (raised from $6.95–$7.30); implies 18% YoY growth at midpoint</w:t>
            </w:r>
          </w:p>
        </w:tc>
        <w:tc>
          <w:tcPr>
            <w:tcW w:type="dxa" w:w="1728"/>
          </w:tcPr>
          <w:p>
            <w:r>
              <w:rPr>
                <w:rFonts w:ascii="Calibri" w:hAnsi="Calibri"/>
                <w:sz w:val="22"/>
              </w:rPr>
              <w:t>—</w:t>
            </w:r>
          </w:p>
        </w:tc>
        <w:tc>
          <w:tcPr>
            <w:tcW w:type="dxa" w:w="1728"/>
          </w:tcPr>
          <w:p>
            <w:r>
              <w:rPr>
                <w:rFonts w:ascii="Calibri" w:hAnsi="Calibri"/>
                <w:sz w:val="22"/>
              </w:rPr>
              <w:t>$7.166</w:t>
            </w:r>
          </w:p>
        </w:tc>
        <w:tc>
          <w:tcPr>
            <w:tcW w:type="dxa" w:w="1728"/>
          </w:tcPr>
          <w:p>
            <w:r>
              <w:rPr>
                <w:rFonts w:ascii="Calibri" w:hAnsi="Calibri"/>
                <w:sz w:val="22"/>
              </w:rPr>
              <w:t>No post-Q2 change; consensus at low end of guide range</w:t>
            </w:r>
          </w:p>
        </w:tc>
      </w:tr>
      <w:tr>
        <w:tc>
          <w:tcPr>
            <w:tcW w:type="dxa" w:w="1728"/>
          </w:tcPr>
          <w:p>
            <w:r>
              <w:rPr>
                <w:rFonts w:ascii="Calibri" w:hAnsi="Calibri"/>
                <w:sz w:val="22"/>
              </w:rPr>
              <w:t>FY26 Adj. FCF Margin</w:t>
            </w:r>
          </w:p>
        </w:tc>
        <w:tc>
          <w:tcPr>
            <w:tcW w:type="dxa" w:w="1728"/>
          </w:tcPr>
          <w:p>
            <w:r>
              <w:rPr>
                <w:rFonts w:ascii="Calibri" w:hAnsi="Calibri"/>
                <w:sz w:val="22"/>
              </w:rPr>
              <w:t>7.0%–8.5% (unchanged from prior guide)</w:t>
            </w:r>
          </w:p>
        </w:tc>
        <w:tc>
          <w:tcPr>
            <w:tcW w:type="dxa" w:w="1728"/>
          </w:tcPr>
          <w:p>
            <w:r>
              <w:rPr>
                <w:rFonts w:ascii="Calibri" w:hAnsi="Calibri"/>
                <w:sz w:val="22"/>
              </w:rPr>
              <w:t>—</w:t>
            </w:r>
          </w:p>
        </w:tc>
        <w:tc>
          <w:tcPr>
            <w:tcW w:type="dxa" w:w="1728"/>
          </w:tcPr>
          <w:p>
            <w:r>
              <w:rPr>
                <w:rFonts w:ascii="Calibri" w:hAnsi="Calibri"/>
                <w:sz w:val="22"/>
              </w:rPr>
              <w:t>~6.1% on net rev basis (consensus FCF $576M)</w:t>
            </w:r>
          </w:p>
        </w:tc>
        <w:tc>
          <w:tcPr>
            <w:tcW w:type="dxa" w:w="1728"/>
          </w:tcPr>
          <w:p>
            <w:r>
              <w:rPr>
                <w:rFonts w:ascii="Calibri" w:hAnsi="Calibri"/>
                <w:sz w:val="22"/>
              </w:rPr>
              <w:t>No post-Q2 change; consensus slightly below guide floor — potential upside</w:t>
            </w:r>
          </w:p>
        </w:tc>
      </w:tr>
      <w:tr>
        <w:tc>
          <w:tcPr>
            <w:tcW w:type="dxa" w:w="1728"/>
          </w:tcPr>
          <w:p>
            <w:r>
              <w:rPr>
                <w:rFonts w:ascii="Calibri" w:hAnsi="Calibri"/>
                <w:sz w:val="22"/>
              </w:rPr>
              <w:t>Q3 2026 Adj. EBITDA Margin</w:t>
            </w:r>
          </w:p>
        </w:tc>
        <w:tc>
          <w:tcPr>
            <w:tcW w:type="dxa" w:w="1728"/>
          </w:tcPr>
          <w:p>
            <w:r>
              <w:rPr>
                <w:rFonts w:ascii="Calibri" w:hAnsi="Calibri"/>
                <w:sz w:val="22"/>
              </w:rPr>
              <w:t>~15% (~90 bps sequential improvement from Q2)</w:t>
            </w:r>
          </w:p>
        </w:tc>
        <w:tc>
          <w:tcPr>
            <w:tcW w:type="dxa" w:w="1728"/>
          </w:tcPr>
          <w:p>
            <w:r>
              <w:rPr>
                <w:rFonts w:ascii="Calibri" w:hAnsi="Calibri"/>
                <w:sz w:val="22"/>
              </w:rPr>
              <w:t>—</w:t>
            </w:r>
          </w:p>
        </w:tc>
        <w:tc>
          <w:tcPr>
            <w:tcW w:type="dxa" w:w="1728"/>
          </w:tcPr>
          <w:p>
            <w:r>
              <w:rPr>
                <w:rFonts w:ascii="Calibri" w:hAnsi="Calibri"/>
                <w:sz w:val="22"/>
              </w:rPr>
              <w:t>15.08%</w:t>
            </w:r>
          </w:p>
        </w:tc>
        <w:tc>
          <w:tcPr>
            <w:tcW w:type="dxa" w:w="1728"/>
          </w:tcPr>
          <w:p>
            <w:r>
              <w:rPr>
                <w:rFonts w:ascii="Calibri" w:hAnsi="Calibri"/>
                <w:sz w:val="22"/>
              </w:rPr>
              <w:t>No post-Q2 change; consensus essentially at guide</w:t>
            </w:r>
          </w:p>
        </w:tc>
      </w:tr>
      <w:tr>
        <w:tc>
          <w:tcPr>
            <w:tcW w:type="dxa" w:w="1728"/>
          </w:tcPr>
          <w:p>
            <w:r>
              <w:rPr>
                <w:rFonts w:ascii="Calibri" w:hAnsi="Calibri"/>
                <w:sz w:val="22"/>
              </w:rPr>
              <w:t>Q3 2026 Net Revenue Growth (YoY)</w:t>
            </w:r>
          </w:p>
        </w:tc>
        <w:tc>
          <w:tcPr>
            <w:tcW w:type="dxa" w:w="1728"/>
          </w:tcPr>
          <w:p>
            <w:r>
              <w:rPr>
                <w:rFonts w:ascii="Calibri" w:hAnsi="Calibri"/>
                <w:sz w:val="22"/>
              </w:rPr>
              <w:t>~7.5% YoY</w:t>
            </w:r>
          </w:p>
        </w:tc>
        <w:tc>
          <w:tcPr>
            <w:tcW w:type="dxa" w:w="1728"/>
          </w:tcPr>
          <w:p>
            <w:r>
              <w:rPr>
                <w:rFonts w:ascii="Calibri" w:hAnsi="Calibri"/>
                <w:sz w:val="22"/>
              </w:rPr>
              <w:t>—</w:t>
            </w:r>
          </w:p>
        </w:tc>
        <w:tc>
          <w:tcPr>
            <w:tcW w:type="dxa" w:w="1728"/>
          </w:tcPr>
          <w:p>
            <w:r>
              <w:rPr>
                <w:rFonts w:ascii="Calibri" w:hAnsi="Calibri"/>
                <w:sz w:val="22"/>
              </w:rPr>
              <w:t>+7.8% YoY ($2.404B vs. $2.231B)</w:t>
            </w:r>
          </w:p>
        </w:tc>
        <w:tc>
          <w:tcPr>
            <w:tcW w:type="dxa" w:w="1728"/>
          </w:tcPr>
          <w:p>
            <w:r>
              <w:rPr>
                <w:rFonts w:ascii="Calibri" w:hAnsi="Calibri"/>
                <w:sz w:val="22"/>
              </w:rPr>
              <w:t>No post-Q2 change; consensus marginally above guide</w:t>
            </w:r>
          </w:p>
        </w:tc>
      </w:tr>
      <w:tr>
        <w:tc>
          <w:tcPr>
            <w:tcW w:type="dxa" w:w="1728"/>
          </w:tcPr>
          <w:p>
            <w:r>
              <w:rPr>
                <w:rFonts w:ascii="Calibri" w:hAnsi="Calibri"/>
                <w:sz w:val="22"/>
              </w:rPr>
              <w:t>Q4 2026 Adj. EBITDA Margin (implied)</w:t>
            </w:r>
          </w:p>
        </w:tc>
        <w:tc>
          <w:tcPr>
            <w:tcW w:type="dxa" w:w="1728"/>
          </w:tcPr>
          <w:p>
            <w:r>
              <w:rPr>
                <w:rFonts w:ascii="Calibri" w:hAnsi="Calibri"/>
                <w:sz w:val="22"/>
              </w:rPr>
              <w:t>&gt;16% on double-digit top-line growth (extra week in Q4)</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Implied Q4 margin well above Street; key setup for FY27 estimates</w:t>
            </w:r>
          </w:p>
        </w:tc>
      </w:tr>
      <w:tr>
        <w:tc>
          <w:tcPr>
            <w:tcW w:type="dxa" w:w="1728"/>
          </w:tcPr>
          <w:p>
            <w:r>
              <w:rPr>
                <w:rFonts w:ascii="Calibri" w:hAnsi="Calibri"/>
                <w:sz w:val="22"/>
              </w:rPr>
              <w:t>FY29 Adj. EBITDA Margin Target</w:t>
            </w:r>
          </w:p>
        </w:tc>
        <w:tc>
          <w:tcPr>
            <w:tcW w:type="dxa" w:w="1728"/>
          </w:tcPr>
          <w:p>
            <w:r>
              <w:rPr>
                <w:rFonts w:ascii="Calibri" w:hAnsi="Calibri"/>
                <w:sz w:val="22"/>
              </w:rPr>
              <w:t>17%+ (raised 100 bps from prior 16%+ target)</w:t>
            </w:r>
          </w:p>
        </w:tc>
        <w:tc>
          <w:tcPr>
            <w:tcW w:type="dxa" w:w="1728"/>
          </w:tcPr>
          <w:p>
            <w:r>
              <w:rPr>
                <w:rFonts w:ascii="Calibri" w:hAnsi="Calibri"/>
                <w:sz w:val="22"/>
              </w:rPr>
              <w:t>—</w:t>
            </w:r>
          </w:p>
        </w:tc>
        <w:tc>
          <w:tcPr>
            <w:tcW w:type="dxa" w:w="1728"/>
          </w:tcPr>
          <w:p>
            <w:r>
              <w:rPr>
                <w:rFonts w:ascii="Calibri" w:hAnsi="Calibri"/>
                <w:sz w:val="22"/>
              </w:rPr>
              <w:t>N/A — long-term target</w:t>
            </w:r>
          </w:p>
        </w:tc>
        <w:tc>
          <w:tcPr>
            <w:tcW w:type="dxa" w:w="1728"/>
          </w:tcPr>
          <w:p>
            <w:r>
              <w:rPr>
                <w:rFonts w:ascii="Calibri" w:hAnsi="Calibri"/>
                <w:sz w:val="22"/>
              </w:rPr>
              <w:t>Raised at Q2 earnings; driven by gross margin initiatives, global delivery, PA synergies</w:t>
            </w:r>
          </w:p>
        </w:tc>
      </w:tr>
      <w:tr>
        <w:tc>
          <w:tcPr>
            <w:tcW w:type="dxa" w:w="1728"/>
          </w:tcPr>
          <w:p>
            <w:r>
              <w:rPr>
                <w:rFonts w:ascii="Calibri" w:hAnsi="Calibri"/>
                <w:sz w:val="22"/>
              </w:rPr>
              <w:t>FY29 Adj. FCF Margin Target</w:t>
            </w:r>
          </w:p>
        </w:tc>
        <w:tc>
          <w:tcPr>
            <w:tcW w:type="dxa" w:w="1728"/>
          </w:tcPr>
          <w:p>
            <w:r>
              <w:rPr>
                <w:rFonts w:ascii="Calibri" w:hAnsi="Calibri"/>
                <w:sz w:val="22"/>
              </w:rPr>
              <w:t>11%+ (raised 100 bps from prior 10%+ target)</w:t>
            </w:r>
          </w:p>
        </w:tc>
        <w:tc>
          <w:tcPr>
            <w:tcW w:type="dxa" w:w="1728"/>
          </w:tcPr>
          <w:p>
            <w:r>
              <w:rPr>
                <w:rFonts w:ascii="Calibri" w:hAnsi="Calibri"/>
                <w:sz w:val="22"/>
              </w:rPr>
              <w:t>—</w:t>
            </w:r>
          </w:p>
        </w:tc>
        <w:tc>
          <w:tcPr>
            <w:tcW w:type="dxa" w:w="1728"/>
          </w:tcPr>
          <w:p>
            <w:r>
              <w:rPr>
                <w:rFonts w:ascii="Calibri" w:hAnsi="Calibri"/>
                <w:sz w:val="22"/>
              </w:rPr>
              <w:t>N/A — long-term target</w:t>
            </w:r>
          </w:p>
        </w:tc>
        <w:tc>
          <w:tcPr>
            <w:tcW w:type="dxa" w:w="1728"/>
          </w:tcPr>
          <w:p>
            <w:r>
              <w:rPr>
                <w:rFonts w:ascii="Calibri" w:hAnsi="Calibri"/>
                <w:sz w:val="22"/>
              </w:rPr>
              <w:t>Raised at Q2 earnings; implies $1.2B–$1.3B annual FCF by FY29</w:t>
            </w:r>
          </w:p>
        </w:tc>
      </w:tr>
    </w:tbl>
    <w:p>
      <w:r>
        <w:rPr>
          <w:rFonts w:ascii="Calibri" w:hAnsi="Calibri"/>
          <w:i/>
          <w:color w:val="525866"/>
          <w:sz w:val="22"/>
        </w:rPr>
        <w:t>Sources: Jacobs Q2 2026 Earnings Release and Transcript (May 5, 2026); Visible Alpha Consensus and Actuals Data. No post-Q2 8-K, investor day, or conference guidance update has been identified.</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the Q2 print across all key metrics, suggesting the Street has not fully priced in the implied margin ramp — </w:t>
      </w:r>
      <w:r>
        <w:rPr>
          <w:rFonts w:ascii="Calibri" w:hAnsi="Calibri"/>
          <w:b/>
          <w:color w:val="525866"/>
          <w:sz w:val="22"/>
        </w:rPr>
        <w:t>this creates a cushion rather than a risk heading into Q3</w:t>
      </w:r>
      <w:r>
        <w:rPr>
          <w:rFonts w:ascii="Calibri" w:hAnsi="Calibri"/>
          <w:color w:val="525866"/>
          <w:sz w:val="22"/>
        </w:rPr>
        <w:t>, particularly on EBITDA margin where consensus sits essentially at the low end of management's guide.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Print (c.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Q3 2026</w:t>
            </w:r>
          </w:p>
        </w:tc>
        <w:tc>
          <w:tcPr>
            <w:tcW w:type="dxa" w:w="1080"/>
          </w:tcPr>
          <w:p>
            <w:r>
              <w:rPr>
                <w:rFonts w:ascii="Calibri" w:hAnsi="Calibri"/>
                <w:sz w:val="22"/>
              </w:rPr>
              <w:t>$1.815</w:t>
            </w:r>
          </w:p>
        </w:tc>
        <w:tc>
          <w:tcPr>
            <w:tcW w:type="dxa" w:w="1080"/>
          </w:tcPr>
          <w:p>
            <w:r>
              <w:rPr>
                <w:rFonts w:ascii="Calibri" w:hAnsi="Calibri"/>
                <w:sz w:val="22"/>
              </w:rPr>
              <w:t>$1.806</w:t>
            </w:r>
          </w:p>
        </w:tc>
        <w:tc>
          <w:tcPr>
            <w:tcW w:type="dxa" w:w="1080"/>
          </w:tcPr>
          <w:p>
            <w:r>
              <w:rPr>
                <w:rFonts w:ascii="Calibri" w:hAnsi="Calibri"/>
                <w:sz w:val="22"/>
              </w:rPr>
              <w:t>-0.5%</w:t>
            </w:r>
          </w:p>
        </w:tc>
        <w:tc>
          <w:tcPr>
            <w:tcW w:type="dxa" w:w="1080"/>
          </w:tcPr>
          <w:p>
            <w:r>
              <w:rPr>
                <w:rFonts w:ascii="Calibri" w:hAnsi="Calibri"/>
                <w:sz w:val="22"/>
              </w:rPr>
              <w:t>Implied by FY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FY2026</w:t>
            </w:r>
          </w:p>
        </w:tc>
        <w:tc>
          <w:tcPr>
            <w:tcW w:type="dxa" w:w="1080"/>
          </w:tcPr>
          <w:p>
            <w:r>
              <w:rPr>
                <w:rFonts w:ascii="Calibri" w:hAnsi="Calibri"/>
                <w:sz w:val="22"/>
              </w:rPr>
              <w:t>$7.226</w:t>
            </w:r>
          </w:p>
        </w:tc>
        <w:tc>
          <w:tcPr>
            <w:tcW w:type="dxa" w:w="1080"/>
          </w:tcPr>
          <w:p>
            <w:r>
              <w:rPr>
                <w:rFonts w:ascii="Calibri" w:hAnsi="Calibri"/>
                <w:sz w:val="22"/>
              </w:rPr>
              <w:t>$7.166</w:t>
            </w:r>
          </w:p>
        </w:tc>
        <w:tc>
          <w:tcPr>
            <w:tcW w:type="dxa" w:w="1080"/>
          </w:tcPr>
          <w:p>
            <w:r>
              <w:rPr>
                <w:rFonts w:ascii="Calibri" w:hAnsi="Calibri"/>
                <w:sz w:val="22"/>
              </w:rPr>
              <w:t>-0.8%</w:t>
            </w:r>
          </w:p>
        </w:tc>
        <w:tc>
          <w:tcPr>
            <w:tcW w:type="dxa" w:w="1080"/>
          </w:tcPr>
          <w:p>
            <w:r>
              <w:rPr>
                <w:rFonts w:ascii="Calibri" w:hAnsi="Calibri"/>
                <w:sz w:val="22"/>
              </w:rPr>
              <w:t>$7.10–$7.35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vs. midpoint ($7.225)</w:t>
            </w:r>
          </w:p>
        </w:tc>
      </w:tr>
      <w:tr>
        <w:tc>
          <w:tcPr>
            <w:tcW w:type="dxa" w:w="1080"/>
          </w:tcPr>
          <w:p>
            <w:r>
              <w:rPr>
                <w:rFonts w:ascii="Calibri" w:hAnsi="Calibri"/>
                <w:sz w:val="22"/>
              </w:rPr>
              <w:t>Net Revenue — Q3 2026 ($B)</w:t>
            </w:r>
          </w:p>
        </w:tc>
        <w:tc>
          <w:tcPr>
            <w:tcW w:type="dxa" w:w="1080"/>
          </w:tcPr>
          <w:p>
            <w:r>
              <w:rPr>
                <w:rFonts w:ascii="Calibri" w:hAnsi="Calibri"/>
                <w:sz w:val="22"/>
              </w:rPr>
              <w:t>$2.408B</w:t>
            </w:r>
          </w:p>
        </w:tc>
        <w:tc>
          <w:tcPr>
            <w:tcW w:type="dxa" w:w="1080"/>
          </w:tcPr>
          <w:p>
            <w:r>
              <w:rPr>
                <w:rFonts w:ascii="Calibri" w:hAnsi="Calibri"/>
                <w:sz w:val="22"/>
              </w:rPr>
              <w:t>$2.404B</w:t>
            </w:r>
          </w:p>
        </w:tc>
        <w:tc>
          <w:tcPr>
            <w:tcW w:type="dxa" w:w="1080"/>
          </w:tcPr>
          <w:p>
            <w:r>
              <w:rPr>
                <w:rFonts w:ascii="Calibri" w:hAnsi="Calibri"/>
                <w:sz w:val="22"/>
              </w:rPr>
              <w:t>-0.2%</w:t>
            </w:r>
          </w:p>
        </w:tc>
        <w:tc>
          <w:tcPr>
            <w:tcW w:type="dxa" w:w="1080"/>
          </w:tcPr>
          <w:p>
            <w:r>
              <w:rPr>
                <w:rFonts w:ascii="Calibri" w:hAnsi="Calibri"/>
                <w:sz w:val="22"/>
              </w:rPr>
              <w:t>~7.5% YoY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guide</w:t>
            </w:r>
          </w:p>
        </w:tc>
      </w:tr>
      <w:tr>
        <w:tc>
          <w:tcPr>
            <w:tcW w:type="dxa" w:w="1080"/>
          </w:tcPr>
          <w:p>
            <w:r>
              <w:rPr>
                <w:rFonts w:ascii="Calibri" w:hAnsi="Calibri"/>
                <w:sz w:val="22"/>
              </w:rPr>
              <w:t>Net Revenue — FY2026 ($B)</w:t>
            </w:r>
          </w:p>
        </w:tc>
        <w:tc>
          <w:tcPr>
            <w:tcW w:type="dxa" w:w="1080"/>
          </w:tcPr>
          <w:p>
            <w:r>
              <w:rPr>
                <w:rFonts w:ascii="Calibri" w:hAnsi="Calibri"/>
                <w:sz w:val="22"/>
              </w:rPr>
              <w:t>$9.516B</w:t>
            </w:r>
          </w:p>
        </w:tc>
        <w:tc>
          <w:tcPr>
            <w:tcW w:type="dxa" w:w="1080"/>
          </w:tcPr>
          <w:p>
            <w:r>
              <w:rPr>
                <w:rFonts w:ascii="Calibri" w:hAnsi="Calibri"/>
                <w:sz w:val="22"/>
              </w:rPr>
              <w:t>$9.482B</w:t>
            </w:r>
          </w:p>
        </w:tc>
        <w:tc>
          <w:tcPr>
            <w:tcW w:type="dxa" w:w="1080"/>
          </w:tcPr>
          <w:p>
            <w:r>
              <w:rPr>
                <w:rFonts w:ascii="Calibri" w:hAnsi="Calibri"/>
                <w:sz w:val="22"/>
              </w:rPr>
              <w:t>-0.4%</w:t>
            </w:r>
          </w:p>
        </w:tc>
        <w:tc>
          <w:tcPr>
            <w:tcW w:type="dxa" w:w="1080"/>
          </w:tcPr>
          <w:p>
            <w:r>
              <w:rPr>
                <w:rFonts w:ascii="Calibri" w:hAnsi="Calibri"/>
                <w:sz w:val="22"/>
              </w:rPr>
              <w:t>8.0%–10.5% YoY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~9.2% YoY; within guide range</w:t>
            </w:r>
          </w:p>
        </w:tc>
      </w:tr>
      <w:tr>
        <w:tc>
          <w:tcPr>
            <w:tcW w:type="dxa" w:w="1080"/>
          </w:tcPr>
          <w:p>
            <w:r>
              <w:rPr>
                <w:rFonts w:ascii="Calibri" w:hAnsi="Calibri"/>
                <w:sz w:val="22"/>
              </w:rPr>
              <w:t>Adj. EBITDA Margin — Q3 2026 (%)</w:t>
            </w:r>
          </w:p>
        </w:tc>
        <w:tc>
          <w:tcPr>
            <w:tcW w:type="dxa" w:w="1080"/>
          </w:tcPr>
          <w:p>
            <w:r>
              <w:rPr>
                <w:rFonts w:ascii="Calibri" w:hAnsi="Calibri"/>
                <w:sz w:val="22"/>
              </w:rPr>
              <w:t>15.04%</w:t>
            </w:r>
          </w:p>
        </w:tc>
        <w:tc>
          <w:tcPr>
            <w:tcW w:type="dxa" w:w="1080"/>
          </w:tcPr>
          <w:p>
            <w:r>
              <w:rPr>
                <w:rFonts w:ascii="Calibri" w:hAnsi="Calibri"/>
                <w:sz w:val="22"/>
              </w:rPr>
              <w:t>15.08%</w:t>
            </w:r>
          </w:p>
        </w:tc>
        <w:tc>
          <w:tcPr>
            <w:tcW w:type="dxa" w:w="1080"/>
          </w:tcPr>
          <w:p>
            <w:r>
              <w:rPr>
                <w:rFonts w:ascii="Calibri" w:hAnsi="Calibri"/>
                <w:sz w:val="22"/>
              </w:rPr>
              <w:t>+0.3%</w:t>
            </w:r>
          </w:p>
        </w:tc>
        <w:tc>
          <w:tcPr>
            <w:tcW w:type="dxa" w:w="1080"/>
          </w:tcPr>
          <w:p>
            <w:r>
              <w:rPr>
                <w:rFonts w:ascii="Calibri" w:hAnsi="Calibri"/>
                <w:sz w:val="22"/>
              </w:rPr>
              <w:t>~15%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+8 bps above guide</w:t>
            </w:r>
          </w:p>
        </w:tc>
      </w:tr>
      <w:tr>
        <w:tc>
          <w:tcPr>
            <w:tcW w:type="dxa" w:w="1080"/>
          </w:tcPr>
          <w:p>
            <w:r>
              <w:rPr>
                <w:rFonts w:ascii="Calibri" w:hAnsi="Calibri"/>
                <w:sz w:val="22"/>
              </w:rPr>
              <w:t>Adj. EBITDA Margin — FY2026 (%)</w:t>
            </w:r>
          </w:p>
        </w:tc>
        <w:tc>
          <w:tcPr>
            <w:tcW w:type="dxa" w:w="1080"/>
          </w:tcPr>
          <w:p>
            <w:r>
              <w:rPr>
                <w:rFonts w:ascii="Calibri" w:hAnsi="Calibri"/>
                <w:sz w:val="22"/>
              </w:rPr>
              <w:t>14.73%</w:t>
            </w:r>
          </w:p>
        </w:tc>
        <w:tc>
          <w:tcPr>
            <w:tcW w:type="dxa" w:w="1080"/>
          </w:tcPr>
          <w:p>
            <w:r>
              <w:rPr>
                <w:rFonts w:ascii="Calibri" w:hAnsi="Calibri"/>
                <w:sz w:val="22"/>
              </w:rPr>
              <w:t>14.73%</w:t>
            </w:r>
          </w:p>
        </w:tc>
        <w:tc>
          <w:tcPr>
            <w:tcW w:type="dxa" w:w="1080"/>
          </w:tcPr>
          <w:p>
            <w:r>
              <w:rPr>
                <w:rFonts w:ascii="Calibri" w:hAnsi="Calibri"/>
                <w:sz w:val="22"/>
              </w:rPr>
              <w:t>0.0%</w:t>
            </w:r>
          </w:p>
        </w:tc>
        <w:tc>
          <w:tcPr>
            <w:tcW w:type="dxa" w:w="1080"/>
          </w:tcPr>
          <w:p>
            <w:r>
              <w:rPr>
                <w:rFonts w:ascii="Calibri" w:hAnsi="Calibri"/>
                <w:sz w:val="22"/>
              </w:rPr>
              <w:t>14.6%–14.9%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 bps vs. midpoint (14.75%)</w:t>
            </w:r>
          </w:p>
        </w:tc>
      </w:tr>
      <w:tr>
        <w:tc>
          <w:tcPr>
            <w:tcW w:type="dxa" w:w="1080"/>
          </w:tcPr>
          <w:p>
            <w:r>
              <w:rPr>
                <w:rFonts w:ascii="Calibri" w:hAnsi="Calibri"/>
                <w:sz w:val="22"/>
              </w:rPr>
              <w:t>Total Backlog — Q3 2026 ($B)</w:t>
            </w:r>
          </w:p>
        </w:tc>
        <w:tc>
          <w:tcPr>
            <w:tcW w:type="dxa" w:w="1080"/>
          </w:tcPr>
          <w:p>
            <w:r>
              <w:rPr>
                <w:rFonts w:ascii="Calibri" w:hAnsi="Calibri"/>
                <w:sz w:val="22"/>
              </w:rPr>
              <w:t>$26.957B</w:t>
            </w:r>
          </w:p>
        </w:tc>
        <w:tc>
          <w:tcPr>
            <w:tcW w:type="dxa" w:w="1080"/>
          </w:tcPr>
          <w:p>
            <w:r>
              <w:rPr>
                <w:rFonts w:ascii="Calibri" w:hAnsi="Calibri"/>
                <w:sz w:val="22"/>
              </w:rPr>
              <w:t>$27.112B</w:t>
            </w:r>
          </w:p>
        </w:tc>
        <w:tc>
          <w:tcPr>
            <w:tcW w:type="dxa" w:w="1080"/>
          </w:tcPr>
          <w:p>
            <w:r>
              <w:rPr>
                <w:rFonts w:ascii="Calibri" w:hAnsi="Calibri"/>
                <w:sz w:val="22"/>
              </w:rPr>
              <w:t>+0.6%</w:t>
            </w:r>
          </w:p>
        </w:tc>
        <w:tc>
          <w:tcPr>
            <w:tcW w:type="dxa" w:w="1080"/>
          </w:tcPr>
          <w:p>
            <w:r>
              <w:rPr>
                <w:rFonts w:ascii="Calibri" w:hAnsi="Calibri"/>
                <w:sz w:val="22"/>
              </w:rPr>
              <w:t>No specific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 FY2026 ($M)</w:t>
            </w:r>
          </w:p>
        </w:tc>
        <w:tc>
          <w:tcPr>
            <w:tcW w:type="dxa" w:w="1080"/>
          </w:tcPr>
          <w:p>
            <w:r>
              <w:rPr>
                <w:rFonts w:ascii="Calibri" w:hAnsi="Calibri"/>
                <w:sz w:val="22"/>
              </w:rPr>
              <w:t>$571M</w:t>
            </w:r>
          </w:p>
        </w:tc>
        <w:tc>
          <w:tcPr>
            <w:tcW w:type="dxa" w:w="1080"/>
          </w:tcPr>
          <w:p>
            <w:r>
              <w:rPr>
                <w:rFonts w:ascii="Calibri" w:hAnsi="Calibri"/>
                <w:sz w:val="22"/>
              </w:rPr>
              <w:t>$576M</w:t>
            </w:r>
          </w:p>
        </w:tc>
        <w:tc>
          <w:tcPr>
            <w:tcW w:type="dxa" w:w="1080"/>
          </w:tcPr>
          <w:p>
            <w:r>
              <w:rPr>
                <w:rFonts w:ascii="Calibri" w:hAnsi="Calibri"/>
                <w:sz w:val="22"/>
              </w:rPr>
              <w:t>+0.9%</w:t>
            </w:r>
          </w:p>
        </w:tc>
        <w:tc>
          <w:tcPr>
            <w:tcW w:type="dxa" w:w="1080"/>
          </w:tcPr>
          <w:p>
            <w:r>
              <w:rPr>
                <w:rFonts w:ascii="Calibri" w:hAnsi="Calibri"/>
                <w:sz w:val="22"/>
              </w:rPr>
              <w:t>7.0%–8.5% FCF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~6.1% of net rev; below guide floor</w:t>
            </w:r>
          </w:p>
        </w:tc>
      </w:tr>
    </w:tbl>
    <w:p>
      <w:r>
        <w:rPr>
          <w:rFonts w:ascii="Calibri" w:hAnsi="Calibri"/>
          <w:i/>
          <w:color w:val="525866"/>
          <w:sz w:val="22"/>
        </w:rPr>
        <w:t>The modest downward drift in EPS estimates (-0.5% to -0.8%) since the Q2 print is consistent with typical post-beat conservatism and does not reflect any fundamental deterioration. The more notable gap is on free cash flow, where consensus ($576M) sits below the low end of management's 7%–8.5% FCF margin guide — implying potential upside if H2 cash generation tracks management's $600M–$700M H2 target.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stock's post-Q2 underperformance vs. XLI and SPY was driven by </w:t>
      </w:r>
      <w:r>
        <w:rPr>
          <w:rFonts w:ascii="Calibri" w:hAnsi="Calibri"/>
          <w:b/>
          <w:color w:val="525866"/>
          <w:sz w:val="22"/>
        </w:rPr>
        <w:t>multiple compression</w:t>
      </w:r>
      <w:r>
        <w:rPr>
          <w:rFonts w:ascii="Calibri" w:hAnsi="Calibri"/>
          <w:color w:val="525866"/>
          <w:sz w:val="22"/>
        </w:rPr>
        <w:t xml:space="preserve"> (NTM P/E fell from ~28x a year ago to ~20x today) rather than estimate cuts, and the subsequent recovery to ~$135 reflects improving sentiment around the AI infrastructure cycle — but J has still lagged XLI materially since the Q2 print, leaving room for re-rating if Q3 confirms the margin ramp.</w:t>
      </w:r>
    </w:p>
    <w:p>
      <w:r>
        <w:rPr>
          <w:rFonts w:ascii="Calibri" w:hAnsi="Calibri"/>
          <w:color w:val="525866"/>
          <w:sz w:val="22"/>
        </w:rPr>
        <w:t>Since the Q2 2026 earnings date (May 5, 2026), J fell sharply from $136.55 to a trough of ~$107 by mid-May (approximately -21%), significantly underperforming XLI (which rose ~+2% over the same period) and SPY (+2.5%). The stock then staged a recovery through June and July, reaching ~$140.61 on July 28 before pulling back to ~$134.93 by July 31. As of August 3, 2026 (last close before earnings), J was approximately -1.2% vs. its Q2 earnings day close, while XLI was +6.2% and SPY was +4.7% over the same period — meaning J has meaningfully underperformed both benchmarks since the Q2 print despite the strong fundamental results. The underperformance is consistent with the stock performance decomposition data, which shows NTM EV/EBITDA compressed from ~14.0x a year ago to ~12.1x today (-13.2% over 12 months), while the 1-month and 3-month windows show multiple expansion of +6% and +10% respectively, suggesting the recent recovery is multiple-driven rather than estimate-driven. The sector ETF used is XLI (iShares U.S. Industrials ETF), which is appropriate for J's engineering and professional services sub-sector. Source: Stock Price Data (Yahoo Finance); Stock Performance Decomposition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J Price Return</w:t>
            </w:r>
          </w:p>
        </w:tc>
        <w:tc>
          <w:tcPr>
            <w:tcW w:type="dxa" w:w="1728"/>
            <w:shd w:val="clear" w:color="auto" w:fill="3B4259"/>
          </w:tcPr>
          <w:p>
            <w:r>
              <w:rPr>
                <w:rFonts w:ascii="Calibri" w:hAnsi="Calibri"/>
                <w:b/>
                <w:color w:val="FFFFFF"/>
                <w:sz w:val="22"/>
              </w:rPr>
              <w:t>XLI Return</w:t>
            </w:r>
          </w:p>
        </w:tc>
        <w:tc>
          <w:tcPr>
            <w:tcW w:type="dxa" w:w="1728"/>
            <w:shd w:val="clear" w:color="auto" w:fill="3B4259"/>
          </w:tcPr>
          <w:p>
            <w:r>
              <w:rPr>
                <w:rFonts w:ascii="Calibri" w:hAnsi="Calibri"/>
                <w:b/>
                <w:color w:val="FFFFFF"/>
                <w:sz w:val="22"/>
              </w:rPr>
              <w:t>SPY Return</w:t>
            </w:r>
          </w:p>
        </w:tc>
        <w:tc>
          <w:tcPr>
            <w:tcW w:type="dxa" w:w="1728"/>
            <w:shd w:val="clear" w:color="auto" w:fill="3B4259"/>
          </w:tcPr>
          <w:p>
            <w:r>
              <w:rPr>
                <w:rFonts w:ascii="Calibri" w:hAnsi="Calibri"/>
                <w:b/>
                <w:color w:val="FFFFFF"/>
                <w:sz w:val="22"/>
              </w:rPr>
              <w:t>J vs. XLI</w:t>
            </w:r>
          </w:p>
        </w:tc>
      </w:tr>
      <w:tr>
        <w:tc>
          <w:tcPr>
            <w:tcW w:type="dxa" w:w="1728"/>
          </w:tcPr>
          <w:p>
            <w:r>
              <w:rPr>
                <w:rFonts w:ascii="Calibri" w:hAnsi="Calibri"/>
                <w:sz w:val="22"/>
              </w:rPr>
              <w:t>Since Q2 Earnings (May 5 → Aug 3, 2026)</w:t>
            </w:r>
          </w:p>
        </w:tc>
        <w:tc>
          <w:tcPr>
            <w:tcW w:type="dxa" w:w="1728"/>
          </w:tcPr>
          <w:p>
            <w:r>
              <w:rPr>
                <w:rFonts w:ascii="Calibri" w:hAnsi="Calibri"/>
                <w:sz w:val="22"/>
              </w:rPr>
              <w:t>-1.2% ($136.55 → $134.93)</w:t>
            </w:r>
          </w:p>
        </w:tc>
        <w:tc>
          <w:tcPr>
            <w:tcW w:type="dxa" w:w="1728"/>
          </w:tcPr>
          <w:p>
            <w:r>
              <w:rPr>
                <w:rFonts w:ascii="Calibri" w:hAnsi="Calibri"/>
                <w:sz w:val="22"/>
              </w:rPr>
              <w:t>+4.3% ($172.41 → $179.84)</w:t>
            </w:r>
          </w:p>
        </w:tc>
        <w:tc>
          <w:tcPr>
            <w:tcW w:type="dxa" w:w="1728"/>
          </w:tcPr>
          <w:p>
            <w:r>
              <w:rPr>
                <w:rFonts w:ascii="Calibri" w:hAnsi="Calibri"/>
                <w:sz w:val="22"/>
              </w:rPr>
              <w:t>+3.2% ($723.77 → $747.03)</w:t>
            </w:r>
          </w:p>
        </w:tc>
        <w:tc>
          <w:tcPr>
            <w:tcW w:type="dxa" w:w="1728"/>
          </w:tcPr>
          <w:p>
            <w:r>
              <w:rPr>
                <w:rFonts w:ascii="Calibri" w:hAnsi="Calibri"/>
                <w:sz w:val="22"/>
              </w:rPr>
              <w:t>-5.5 pp</w:t>
            </w:r>
          </w:p>
        </w:tc>
      </w:tr>
      <w:tr>
        <w:tc>
          <w:tcPr>
            <w:tcW w:type="dxa" w:w="1728"/>
          </w:tcPr>
          <w:p>
            <w:r>
              <w:rPr>
                <w:rFonts w:ascii="Calibri" w:hAnsi="Calibri"/>
                <w:sz w:val="22"/>
              </w:rPr>
              <w:t>Trough (May 13, 2026)</w:t>
            </w:r>
          </w:p>
        </w:tc>
        <w:tc>
          <w:tcPr>
            <w:tcW w:type="dxa" w:w="1728"/>
          </w:tcPr>
          <w:p>
            <w:r>
              <w:rPr>
                <w:rFonts w:ascii="Calibri" w:hAnsi="Calibri"/>
                <w:sz w:val="22"/>
              </w:rPr>
              <w:t>-21.4% ($136.55 → $107.27)</w:t>
            </w:r>
          </w:p>
        </w:tc>
        <w:tc>
          <w:tcPr>
            <w:tcW w:type="dxa" w:w="1728"/>
          </w:tcPr>
          <w:p>
            <w:r>
              <w:rPr>
                <w:rFonts w:ascii="Calibri" w:hAnsi="Calibri"/>
                <w:sz w:val="22"/>
              </w:rPr>
              <w:t>+0.7%</w:t>
            </w:r>
          </w:p>
        </w:tc>
        <w:tc>
          <w:tcPr>
            <w:tcW w:type="dxa" w:w="1728"/>
          </w:tcPr>
          <w:p>
            <w:r>
              <w:rPr>
                <w:rFonts w:ascii="Calibri" w:hAnsi="Calibri"/>
                <w:sz w:val="22"/>
              </w:rPr>
              <w:t>+2.6%</w:t>
            </w:r>
          </w:p>
        </w:tc>
        <w:tc>
          <w:tcPr>
            <w:tcW w:type="dxa" w:w="1728"/>
          </w:tcPr>
          <w:p>
            <w:r>
              <w:rPr>
                <w:rFonts w:ascii="Calibri" w:hAnsi="Calibri"/>
                <w:sz w:val="22"/>
              </w:rPr>
              <w:t>-22.1 pp</w:t>
            </w:r>
          </w:p>
        </w:tc>
      </w:tr>
      <w:tr>
        <w:tc>
          <w:tcPr>
            <w:tcW w:type="dxa" w:w="1728"/>
          </w:tcPr>
          <w:p>
            <w:r>
              <w:rPr>
                <w:rFonts w:ascii="Calibri" w:hAnsi="Calibri"/>
                <w:sz w:val="22"/>
              </w:rPr>
              <w:t>Recovery (May 13 → Jul 28, 2026)</w:t>
            </w:r>
          </w:p>
        </w:tc>
        <w:tc>
          <w:tcPr>
            <w:tcW w:type="dxa" w:w="1728"/>
          </w:tcPr>
          <w:p>
            <w:r>
              <w:rPr>
                <w:rFonts w:ascii="Calibri" w:hAnsi="Calibri"/>
                <w:sz w:val="22"/>
              </w:rPr>
              <w:t>+31.1% ($107.27 → $140.61)</w:t>
            </w:r>
          </w:p>
        </w:tc>
        <w:tc>
          <w:tcPr>
            <w:tcW w:type="dxa" w:w="1728"/>
          </w:tcPr>
          <w:p>
            <w:r>
              <w:rPr>
                <w:rFonts w:ascii="Calibri" w:hAnsi="Calibri"/>
                <w:sz w:val="22"/>
              </w:rPr>
              <w:t>+5.1%</w:t>
            </w:r>
          </w:p>
        </w:tc>
        <w:tc>
          <w:tcPr>
            <w:tcW w:type="dxa" w:w="1728"/>
          </w:tcPr>
          <w:p>
            <w:r>
              <w:rPr>
                <w:rFonts w:ascii="Calibri" w:hAnsi="Calibri"/>
                <w:sz w:val="22"/>
              </w:rPr>
              <w:t>+2.4%</w:t>
            </w:r>
          </w:p>
        </w:tc>
        <w:tc>
          <w:tcPr>
            <w:tcW w:type="dxa" w:w="1728"/>
          </w:tcPr>
          <w:p>
            <w:r>
              <w:rPr>
                <w:rFonts w:ascii="Calibri" w:hAnsi="Calibri"/>
                <w:sz w:val="22"/>
              </w:rPr>
              <w:t>+26.0 pp</w:t>
            </w:r>
          </w:p>
        </w:tc>
      </w:tr>
      <w:tr>
        <w:tc>
          <w:tcPr>
            <w:tcW w:type="dxa" w:w="1728"/>
          </w:tcPr>
          <w:p>
            <w:r>
              <w:rPr>
                <w:rFonts w:ascii="Calibri" w:hAnsi="Calibri"/>
                <w:sz w:val="22"/>
              </w:rPr>
              <w:t>Last 1 Month (to Aug 3)</w:t>
            </w:r>
          </w:p>
        </w:tc>
        <w:tc>
          <w:tcPr>
            <w:tcW w:type="dxa" w:w="1728"/>
          </w:tcPr>
          <w:p>
            <w:r>
              <w:rPr>
                <w:rFonts w:ascii="Calibri" w:hAnsi="Calibri"/>
                <w:sz w:val="22"/>
              </w:rPr>
              <w:t>+8.5%</w:t>
            </w:r>
          </w:p>
        </w:tc>
        <w:tc>
          <w:tcPr>
            <w:tcW w:type="dxa" w:w="1728"/>
          </w:tcPr>
          <w:p>
            <w:r>
              <w:rPr>
                <w:rFonts w:ascii="Calibri" w:hAnsi="Calibri"/>
                <w:sz w:val="22"/>
              </w:rPr>
              <w:t>~+4.0%</w:t>
            </w:r>
          </w:p>
        </w:tc>
        <w:tc>
          <w:tcPr>
            <w:tcW w:type="dxa" w:w="1728"/>
          </w:tcPr>
          <w:p>
            <w:r>
              <w:rPr>
                <w:rFonts w:ascii="Calibri" w:hAnsi="Calibri"/>
                <w:sz w:val="22"/>
              </w:rPr>
              <w:t>~+3.0%</w:t>
            </w:r>
          </w:p>
        </w:tc>
        <w:tc>
          <w:tcPr>
            <w:tcW w:type="dxa" w:w="1728"/>
          </w:tcPr>
          <w:p>
            <w:r>
              <w:rPr>
                <w:rFonts w:ascii="Calibri" w:hAnsi="Calibri"/>
                <w:sz w:val="22"/>
              </w:rPr>
              <w:t>+4.5 pp</w:t>
            </w:r>
          </w:p>
        </w:tc>
      </w:tr>
    </w:tbl>
    <w:p>
      <w:r>
        <w:rPr>
          <w:rFonts w:ascii="Calibri" w:hAnsi="Calibri"/>
          <w:b/>
          <w:color w:val="525866"/>
          <w:sz w:val="22"/>
        </w:rPr>
        <w:t xml:space="preserve">Key events since Q2 earnings: </w:t>
      </w:r>
      <w:r>
        <w:rPr>
          <w:rFonts w:ascii="Calibri" w:hAnsi="Calibri"/>
          <w:color w:val="525866"/>
          <w:sz w:val="22"/>
        </w:rPr>
        <w:t>The sharp post-Q2 selloff (May 5–13) appears to have been driven by broader market risk-off and sector rotation rather than J-specific news, as the company beat on all metrics and raised guidance. The recovery from mid-May through late July coincided with improving AI infrastructure sentiment across the sector (PWR, MTZ, FIX all reporting strong data center demand) and the July 14 press release confirming the Q3 earnings date.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Q2 earnings is the </w:t>
      </w:r>
      <w:r>
        <w:rPr>
          <w:rFonts w:ascii="Calibri" w:hAnsi="Calibri"/>
          <w:b/>
          <w:color w:val="525866"/>
          <w:sz w:val="22"/>
        </w:rPr>
        <w:t>completion of the PA Consulting acquisition in March 2026 and the subsequent identification of $20M+ in annual cost synergies</w:t>
      </w:r>
      <w:r>
        <w:rPr>
          <w:rFonts w:ascii="Calibri" w:hAnsi="Calibri"/>
          <w:color w:val="525866"/>
          <w:sz w:val="22"/>
        </w:rPr>
        <w:t xml:space="preserve"> — the removal of UK conflict-of-interest constraints is now accelerating joint sales pipeline activity, which is the key incremental positive heading into Q3.</w:t>
      </w:r>
    </w:p>
    <w:p>
      <w:pPr>
        <w:pStyle w:val="ListBullet"/>
        <w:ind w:left="360" w:hanging="360"/>
      </w:pPr>
      <w:r>
        <w:rPr>
          <w:rFonts w:ascii="Calibri" w:hAnsi="Calibri"/>
          <w:b/>
          <w:color w:val="525866"/>
          <w:sz w:val="22"/>
        </w:rPr>
        <w:t>May 5, 2026 — Q2 2026 Earnings Beat &amp; Guidance Raise (Second Consecutive Quarter):</w:t>
      </w:r>
      <w:r>
        <w:rPr>
          <w:rFonts w:ascii="Calibri" w:hAnsi="Calibri"/>
          <w:i/>
          <w:color w:val="525866"/>
          <w:sz w:val="22"/>
        </w:rPr>
        <w:t xml:space="preserve"> Jacobs reported adjusted EPS of $1.731 (+22% YoY), beating consensus of $1.631 by 6.1%. Gross revenue grew 27% YoY; adjusted net revenue grew 9% YoY (highest consolidated growth since CMS separation). Record backlog of $27.0B (+22% YoY). FY26 guidance raised for the second consecutive quarter: adj. net revenue growth to 8.0%–10.5% (from 6.5%–10.0%), adj. EBITDA margin to 14.6%–14.9% (from 14.4%–14.7%), adj. EPS to $7.10–$7.35 (from $6.95–$7.30). FY29 EBITDA margin target raised to 17%+ (from 16%+) and FCF margin target raised to 11%+ (from 10%+). </w:t>
      </w:r>
      <w:r>
        <w:rPr>
          <w:rFonts w:ascii="Calibri" w:hAnsi="Calibri"/>
          <w:color w:val="525866"/>
          <w:sz w:val="22"/>
        </w:rPr>
        <w:t>Implication: Sets a high bar for Q3 but also provides explicit margin guidance (~15%) that consensus has essentially matched.</w:t>
      </w:r>
    </w:p>
    <w:p>
      <w:pPr>
        <w:pStyle w:val="ListBullet"/>
        <w:ind w:left="360" w:hanging="360"/>
      </w:pPr>
      <w:r>
        <w:rPr>
          <w:rFonts w:ascii="Calibri" w:hAnsi="Calibri"/>
          <w:b/>
          <w:color w:val="525866"/>
          <w:sz w:val="22"/>
        </w:rPr>
        <w:t>March 2026 — PA Consulting Acquisition Completed:</w:t>
      </w:r>
      <w:r>
        <w:rPr>
          <w:rFonts w:ascii="Calibri" w:hAnsi="Calibri"/>
          <w:i/>
          <w:color w:val="525866"/>
          <w:sz w:val="22"/>
        </w:rPr>
        <w:t xml:space="preserve"> Jacobs completed the acquisition of the remaining stake in PA Consulting, celebrated by ringing the NYSE closing bell. PA Consulting grew revenue 17% YoY in Q2 (fourth consecutive quarter of double-digit growth) with operating margin of 22%. Cost synergy estimate raised to $20M+ annually within 24 months (from $16–20M at announcement). UK conflict-of-interest constraints on joint sales activity removed. </w:t>
      </w:r>
      <w:r>
        <w:rPr>
          <w:rFonts w:ascii="Calibri" w:hAnsi="Calibri"/>
          <w:color w:val="525866"/>
          <w:sz w:val="22"/>
        </w:rPr>
        <w:t>Implication: Revenue synergy pipeline is now accelerating; key areas include European defense infrastructure, U.S. transportation, and energy/utility sectors feeding AI infrastructure.</w:t>
      </w:r>
    </w:p>
    <w:p>
      <w:pPr>
        <w:pStyle w:val="ListBullet"/>
        <w:ind w:left="360" w:hanging="360"/>
      </w:pPr>
      <w:r>
        <w:rPr>
          <w:rFonts w:ascii="Calibri" w:hAnsi="Calibri"/>
          <w:b/>
          <w:color w:val="525866"/>
          <w:sz w:val="22"/>
        </w:rPr>
        <w:t>Q2 2026 — Data Center Business Grew &gt;100% YoY; AI Pipeline Up 400% YoY:</w:t>
      </w:r>
      <w:r>
        <w:rPr>
          <w:rFonts w:ascii="Calibri" w:hAnsi="Calibri"/>
          <w:i/>
          <w:color w:val="525866"/>
          <w:sz w:val="22"/>
        </w:rPr>
        <w:t xml:space="preserve"> Data centers represent 3%–4% of total business, growing at 100%+ YoY. The broader AI ecosystem (chips, power, energy, data centers) represents 10%–11% of total business, growing in excess of 40%. AI infrastructure pipeline (data center component) up 400% YoY with visibility extending well into FY27 and FY28. NVIDIA partnership deepening via digital twin development using NVIDIA Omniverse DSX Blueprint. </w:t>
      </w:r>
      <w:r>
        <w:rPr>
          <w:rFonts w:ascii="Calibri" w:hAnsi="Calibri"/>
          <w:color w:val="525866"/>
          <w:sz w:val="22"/>
        </w:rPr>
        <w:t>Implication: Data center is the primary growth driver and the key upside variable for Q3 bookings and backlog.</w:t>
      </w:r>
    </w:p>
    <w:p>
      <w:pPr>
        <w:pStyle w:val="ListBullet"/>
        <w:ind w:left="360" w:hanging="360"/>
      </w:pPr>
      <w:r>
        <w:rPr>
          <w:rFonts w:ascii="Calibri" w:hAnsi="Calibri"/>
          <w:b/>
          <w:color w:val="525866"/>
          <w:sz w:val="22"/>
        </w:rPr>
        <w:t>Q2 2026 — Life Sciences &amp; Advanced Manufacturing Net Revenue Grew 12% YoY (Highest Since Reporting Began):</w:t>
      </w:r>
      <w:r>
        <w:rPr>
          <w:rFonts w:ascii="Calibri" w:hAnsi="Calibri"/>
          <w:i/>
          <w:color w:val="525866"/>
          <w:sz w:val="22"/>
        </w:rPr>
        <w:t xml:space="preserve"> Management guided for revenue growth in this segment to likely exceed Q2's level in H2. Real-time pipeline up 81% YoY. Reshoring activity from 1–2 years ago expected to mature in the field over the next few quarters. </w:t>
      </w:r>
      <w:r>
        <w:rPr>
          <w:rFonts w:ascii="Calibri" w:hAnsi="Calibri"/>
          <w:color w:val="525866"/>
          <w:sz w:val="22"/>
        </w:rPr>
        <w:t>Implication: Life sciences is a second major growth driver alongside data centers; any acceleration above 12% in Q3 would be a positive surprise.</w:t>
      </w:r>
    </w:p>
    <w:p>
      <w:pPr>
        <w:pStyle w:val="ListBullet"/>
        <w:ind w:left="360" w:hanging="360"/>
      </w:pPr>
      <w:r>
        <w:rPr>
          <w:rFonts w:ascii="Calibri" w:hAnsi="Calibri"/>
          <w:b/>
          <w:color w:val="525866"/>
          <w:sz w:val="22"/>
        </w:rPr>
        <w:t>Q2 2026 — Environmental Services Softness; Recovery Guided for Q4:</w:t>
      </w:r>
      <w:r>
        <w:rPr>
          <w:rFonts w:ascii="Calibri" w:hAnsi="Calibri"/>
          <w:i/>
          <w:color w:val="525866"/>
          <w:sz w:val="22"/>
        </w:rPr>
        <w:t xml:space="preserve"> Water and environmental net revenue grew only 2% in Q2, with water strength offset by environmental softness. Management guided for meaningful YoY improvement by Q4. </w:t>
      </w:r>
      <w:r>
        <w:rPr>
          <w:rFonts w:ascii="Calibri" w:hAnsi="Calibri"/>
          <w:color w:val="525866"/>
          <w:sz w:val="22"/>
        </w:rPr>
        <w:t>Implication: Environmental remains the key drag; any early signs of inflection in Q3 bookings would be a positive catalyst, while continued softness is the primary downside risk.</w:t>
      </w:r>
    </w:p>
    <w:p>
      <w:pPr>
        <w:pStyle w:val="ListBullet"/>
        <w:ind w:left="360" w:hanging="360"/>
      </w:pPr>
      <w:r>
        <w:rPr>
          <w:rFonts w:ascii="Calibri" w:hAnsi="Calibri"/>
          <w:b/>
          <w:color w:val="525866"/>
          <w:sz w:val="22"/>
        </w:rPr>
        <w:t>Q2 2026 — Balance Sheet: Net Leverage at 2.1x Post-PA Acquisition:</w:t>
      </w:r>
      <w:r>
        <w:rPr>
          <w:rFonts w:ascii="Calibri" w:hAnsi="Calibri"/>
          <w:i/>
          <w:color w:val="525866"/>
          <w:sz w:val="22"/>
        </w:rPr>
        <w:t xml:space="preserve"> Management guided to return below 2.0x by year-end FY26 and to ~1.5x in FY27, supported by $600M–$700M of expected H2 free cash flow. Share repurchases of $472M in H1 FY26 (ahead of annual target of returning at least 60% of FCF). </w:t>
      </w:r>
      <w:r>
        <w:rPr>
          <w:rFonts w:ascii="Calibri" w:hAnsi="Calibri"/>
          <w:color w:val="525866"/>
          <w:sz w:val="22"/>
        </w:rPr>
        <w:t>Implication: Deleveraging trajectory and buyback pace will be closely watched; any acceleration in FCF generation would be a positive signal.</w:t>
      </w:r>
    </w:p>
    <w:p>
      <w:pPr>
        <w:pStyle w:val="ListBullet"/>
        <w:ind w:left="360" w:hanging="360"/>
      </w:pPr>
      <w:r>
        <w:rPr>
          <w:rFonts w:ascii="Calibri" w:hAnsi="Calibri"/>
          <w:b/>
          <w:color w:val="525866"/>
          <w:sz w:val="22"/>
        </w:rPr>
        <w:t>July 14, 2026 — Q3 Earnings Date Confirmed:</w:t>
      </w:r>
      <w:r>
        <w:rPr>
          <w:rFonts w:ascii="Calibri" w:hAnsi="Calibri"/>
          <w:i/>
          <w:color w:val="525866"/>
          <w:sz w:val="22"/>
        </w:rPr>
        <w:t xml:space="preserve"> Jacobs announced fiscal Q3 2026 results will be released after market close on August 4, 2026, with a conference call at 4:30 PM ET. No financial guidance updates were included in the announcement. </w:t>
      </w:r>
      <w:r>
        <w:rPr>
          <w:rFonts w:ascii="Calibri" w:hAnsi="Calibri"/>
          <w:color w:val="525866"/>
          <w:sz w:val="22"/>
        </w:rPr>
        <w:t>Implication: Routine announcement; no pre-announcement signal.</w:t>
      </w:r>
    </w:p>
    <w:p>
      <w:pPr>
        <w:pStyle w:val="ListBullet"/>
        <w:ind w:left="360" w:hanging="360"/>
      </w:pPr>
      <w:r>
        <w:rPr>
          <w:rFonts w:ascii="Calibri" w:hAnsi="Calibri"/>
          <w:b/>
          <w:color w:val="525866"/>
          <w:sz w:val="22"/>
        </w:rPr>
        <w:t>Ongoing — Middle East Operations Resilient:</w:t>
      </w:r>
      <w:r>
        <w:rPr>
          <w:rFonts w:ascii="Calibri" w:hAnsi="Calibri"/>
          <w:i/>
          <w:color w:val="525866"/>
          <w:sz w:val="22"/>
        </w:rPr>
        <w:t xml:space="preserve"> Management confirmed minimal disruption from regional tensions, with time-based mission-critical programs in Saudi Arabia and UAE continuing. Global delivery model enabling remote delivery. </w:t>
      </w:r>
      <w:r>
        <w:rPr>
          <w:rFonts w:ascii="Calibri" w:hAnsi="Calibri"/>
          <w:color w:val="525866"/>
          <w:sz w:val="22"/>
        </w:rPr>
        <w:t>Implication: Middle East remains a sustained double-digit growth region; any escalation would be a risk but has not materialized.</w:t>
      </w:r>
    </w:p>
    <w:p>
      <w:pPr>
        <w:pStyle w:val="ListBullet"/>
        <w:ind w:left="360" w:hanging="360"/>
      </w:pPr>
      <w:r>
        <w:rPr>
          <w:rFonts w:ascii="Calibri" w:hAnsi="Calibri"/>
          <w:b/>
          <w:color w:val="525866"/>
          <w:sz w:val="22"/>
        </w:rPr>
        <w:t>Ongoing — Jacobs Ranked #1 Design Firm by ENR (2026 Top 500 Report):</w:t>
      </w:r>
      <w:r>
        <w:rPr>
          <w:rFonts w:ascii="Calibri" w:hAnsi="Calibri"/>
          <w:i/>
          <w:color w:val="525866"/>
          <w:sz w:val="22"/>
        </w:rPr>
        <w:t xml:space="preserve"> Seventh time in the last 8 years. Reinforces competitive positioning in engineering and design. </w:t>
      </w:r>
      <w:r>
        <w:rPr>
          <w:rFonts w:ascii="Calibri" w:hAnsi="Calibri"/>
          <w:color w:val="525866"/>
          <w:sz w:val="22"/>
        </w:rPr>
        <w:t>Implication: Brand and competitive moat remain intact; supports pricing power and client retention.</w:t>
      </w:r>
    </w:p>
    <w:p>
      <w:r>
        <w:br w:type="page"/>
      </w:r>
    </w:p>
    <w:p>
      <w:pPr>
        <w:pStyle w:val="Heading2"/>
      </w:pPr>
      <w:r>
        <w:rPr>
          <w:rFonts w:ascii="Calibri" w:hAnsi="Calibri"/>
          <w:b/>
          <w:color w:val="3B4259"/>
          <w:sz w:val="28"/>
        </w:rPr>
        <w:t>7. Peer Commentary Read-Through (Last 60 Days)</w:t>
      </w:r>
    </w:p>
    <w:p>
      <w:r>
        <w:rPr>
          <w:rFonts w:ascii="Calibri" w:hAnsi="Calibri"/>
          <w:b/>
          <w:color w:val="525866"/>
          <w:sz w:val="22"/>
        </w:rPr>
        <w:t xml:space="preserve">Key Takeaway: </w:t>
      </w:r>
      <w:r>
        <w:rPr>
          <w:rFonts w:ascii="Calibri" w:hAnsi="Calibri"/>
          <w:color w:val="525866"/>
          <w:sz w:val="22"/>
        </w:rPr>
        <w:t xml:space="preserve">Peers reporting in late July 2026 (PWR, MTZ, FIX, TTEK) delivered a uniformly bullish read-through for Jacobs — </w:t>
      </w:r>
      <w:r>
        <w:rPr>
          <w:rFonts w:ascii="Calibri" w:hAnsi="Calibri"/>
          <w:b/>
          <w:color w:val="525866"/>
          <w:sz w:val="22"/>
        </w:rPr>
        <w:t>record backlogs, accelerating data center demand with hyperscalers showing "deep and calm certainty" about continued build-out, and strong margin outlooks</w:t>
      </w:r>
      <w:r>
        <w:rPr>
          <w:rFonts w:ascii="Calibri" w:hAnsi="Calibri"/>
          <w:color w:val="525866"/>
          <w:sz w:val="22"/>
        </w:rPr>
        <w:t xml:space="preserve"> — with the only notable caveat being MTZ's communications segment softness, which has limited read-through to J's business mix.</w:t>
      </w:r>
    </w:p>
    <w:p>
      <w:r>
        <w:rPr>
          <w:rFonts w:ascii="Calibri" w:hAnsi="Calibri"/>
          <w:b/>
          <w:color w:val="525866"/>
          <w:sz w:val="22"/>
        </w:rPr>
        <w:t xml:space="preserve">Filter applied: </w:t>
      </w:r>
      <w:r>
        <w:rPr>
          <w:rFonts w:ascii="Calibri" w:hAnsi="Calibri"/>
          <w:i/>
          <w:color w:val="525866"/>
          <w:sz w:val="22"/>
        </w:rPr>
        <w:t>Only forward-looking commentary about the peer's current/next reporting period or post-print outlook is included below. Commentary about a peer's own reported quarter results is excluded. All quotes are from earnings calls or releases dated June 4, 2026 or later.</w:t>
      </w:r>
    </w:p>
    <w:p>
      <w:pPr>
        <w:pStyle w:val="Heading3"/>
      </w:pPr>
      <w:r>
        <w:rPr>
          <w:rFonts w:ascii="Calibri" w:hAnsi="Calibri"/>
          <w:b/>
          <w:color w:val="3B4259"/>
          <w:sz w:val="24"/>
        </w:rPr>
        <w:t>Quanta Services (PWR) — Q2 2026 Earnings Call, July 30,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Forward-Looking Commentary</w:t>
            </w:r>
          </w:p>
        </w:tc>
        <w:tc>
          <w:tcPr>
            <w:tcW w:type="dxa" w:w="2160"/>
            <w:shd w:val="clear" w:color="auto" w:fill="3B4259"/>
          </w:tcPr>
          <w:p>
            <w:r>
              <w:rPr>
                <w:rFonts w:ascii="Calibri" w:hAnsi="Calibri"/>
                <w:b/>
                <w:color w:val="FFFFFF"/>
                <w:sz w:val="22"/>
              </w:rPr>
              <w:t>Signal for J</w:t>
            </w:r>
          </w:p>
        </w:tc>
        <w:tc>
          <w:tcPr>
            <w:tcW w:type="dxa" w:w="2160"/>
            <w:shd w:val="clear" w:color="auto" w:fill="3B4259"/>
          </w:tcPr>
          <w:p>
            <w:r>
              <w:rPr>
                <w:rFonts w:ascii="Calibri" w:hAnsi="Calibri"/>
                <w:b/>
                <w:color w:val="FFFFFF"/>
                <w:sz w:val="22"/>
              </w:rPr>
              <w:t>Comparability Caveat</w:t>
            </w:r>
          </w:p>
        </w:tc>
      </w:tr>
      <w:tr>
        <w:tc>
          <w:tcPr>
            <w:tcW w:type="dxa" w:w="2160"/>
          </w:tcPr>
          <w:p>
            <w:r>
              <w:rPr>
                <w:rFonts w:ascii="Calibri" w:hAnsi="Calibri"/>
                <w:sz w:val="22"/>
              </w:rPr>
              <w:t>Backlog &amp; Demand Outlook</w:t>
            </w:r>
          </w:p>
        </w:tc>
        <w:tc>
          <w:tcPr>
            <w:tcW w:type="dxa" w:w="2160"/>
          </w:tcPr>
          <w:p>
            <w:r>
              <w:rPr>
                <w:rFonts w:ascii="Calibri" w:hAnsi="Calibri"/>
                <w:sz w:val="22"/>
              </w:rPr>
              <w:t>"The record backlog we reported reflects the demand in front of us, but we're still in the early stages. The larger programs across the utility generation and technology load center markets are ahead of us, and we expect them to stack in the years to come. In many ways, we are just getting started." — Duke Austin, CEO</w:t>
            </w:r>
          </w:p>
        </w:tc>
        <w:tc>
          <w:tcPr>
            <w:tcW w:type="dxa" w:w="2160"/>
          </w:tcPr>
          <w:p>
            <w:r>
              <w:rPr>
                <w:rFonts w:ascii="Calibri" w:hAnsi="Calibri"/>
                <w:b/>
                <w:color w:val="30A46C"/>
                <w:sz w:val="22"/>
              </w:rPr>
              <w:t>Positive</w:t>
            </w:r>
            <w:r>
              <w:rPr>
                <w:rFonts w:ascii="Calibri" w:hAnsi="Calibri"/>
                <w:sz w:val="22"/>
              </w:rPr>
              <w:t>: Multi-year demand visibility in utility and technology markets; record backlog expected to continue into Q3 and Q4 2026. Directly supports J's own record backlog trajectory.</w:t>
            </w:r>
          </w:p>
        </w:tc>
        <w:tc>
          <w:tcPr>
            <w:tcW w:type="dxa" w:w="2160"/>
          </w:tcPr>
          <w:p>
            <w:r>
              <w:rPr>
                <w:rFonts w:ascii="Calibri" w:hAnsi="Calibri"/>
                <w:sz w:val="22"/>
              </w:rPr>
              <w:t>PWR's backlog includes recent acquisition contributions; self-perform model differs from J's professional services approach.</w:t>
            </w:r>
          </w:p>
        </w:tc>
      </w:tr>
      <w:tr>
        <w:tc>
          <w:tcPr>
            <w:tcW w:type="dxa" w:w="2160"/>
          </w:tcPr>
          <w:p>
            <w:r>
              <w:rPr>
                <w:rFonts w:ascii="Calibri" w:hAnsi="Calibri"/>
                <w:sz w:val="22"/>
              </w:rPr>
              <w:t>Data Center / AI Infrastructure</w:t>
            </w:r>
          </w:p>
        </w:tc>
        <w:tc>
          <w:tcPr>
            <w:tcW w:type="dxa" w:w="2160"/>
          </w:tcPr>
          <w:p>
            <w:r>
              <w:rPr>
                <w:rFonts w:ascii="Calibri" w:hAnsi="Calibri"/>
                <w:sz w:val="22"/>
              </w:rPr>
              <w:t>"We're not seeing any shortage of places to go to work... And we're seeing both of your projects too. So, I mean, we're out well beyond 2030." — Duke Austin, CEO. Also: "I'm not sure people understand that nexus and how difficult it is to interconnect to the grid and how much we're right in the middle of that interconnection."</w:t>
            </w:r>
          </w:p>
        </w:tc>
        <w:tc>
          <w:tcPr>
            <w:tcW w:type="dxa" w:w="2160"/>
          </w:tcPr>
          <w:p>
            <w:r>
              <w:rPr>
                <w:rFonts w:ascii="Calibri" w:hAnsi="Calibri"/>
                <w:b/>
                <w:color w:val="30A46C"/>
                <w:sz w:val="22"/>
              </w:rPr>
              <w:t>Positive</w:t>
            </w:r>
            <w:r>
              <w:rPr>
                <w:rFonts w:ascii="Calibri" w:hAnsi="Calibri"/>
                <w:sz w:val="22"/>
              </w:rPr>
              <w:t>: Hyperscaler demand extends well beyond 2030; grid interconnection complexity creates sustained demand for engineering services. J's NVIDIA partnership and EPCM capabilities position it similarly.</w:t>
            </w:r>
          </w:p>
        </w:tc>
        <w:tc>
          <w:tcPr>
            <w:tcW w:type="dxa" w:w="2160"/>
          </w:tcPr>
          <w:p>
            <w:r>
              <w:rPr>
                <w:rFonts w:ascii="Calibri" w:hAnsi="Calibri"/>
                <w:sz w:val="22"/>
              </w:rPr>
              <w:t>PWR emphasizes self-perform construction; J's role is more upstream (design, engineering, program management). Scope overlap is partial.</w:t>
            </w:r>
          </w:p>
        </w:tc>
      </w:tr>
      <w:tr>
        <w:tc>
          <w:tcPr>
            <w:tcW w:type="dxa" w:w="2160"/>
          </w:tcPr>
          <w:p>
            <w:r>
              <w:rPr>
                <w:rFonts w:ascii="Calibri" w:hAnsi="Calibri"/>
                <w:sz w:val="22"/>
              </w:rPr>
              <w:t>Power Grid / Utility Spending</w:t>
            </w:r>
          </w:p>
        </w:tc>
        <w:tc>
          <w:tcPr>
            <w:tcW w:type="dxa" w:w="2160"/>
          </w:tcPr>
          <w:p>
            <w:r>
              <w:rPr>
                <w:rFonts w:ascii="Calibri" w:hAnsi="Calibri"/>
                <w:sz w:val="22"/>
              </w:rPr>
              <w:t>"Double digit type growth is there today and it's going to get much greater than that as we start compounding big work... I do believe utilities are in a growth mode. They've been underinvested in for a while on generation. You're starting to see that significant investment." — Duke Austin, CEO</w:t>
            </w:r>
          </w:p>
        </w:tc>
        <w:tc>
          <w:tcPr>
            <w:tcW w:type="dxa" w:w="2160"/>
          </w:tcPr>
          <w:p>
            <w:r>
              <w:rPr>
                <w:rFonts w:ascii="Calibri" w:hAnsi="Calibri"/>
                <w:b/>
                <w:color w:val="30A46C"/>
                <w:sz w:val="22"/>
              </w:rPr>
              <w:t>Positive</w:t>
            </w:r>
            <w:r>
              <w:rPr>
                <w:rFonts w:ascii="Calibri" w:hAnsi="Calibri"/>
                <w:sz w:val="22"/>
              </w:rPr>
              <w:t>: Utility capex cycle accelerating; large T&amp;D and generation projects expected to hit backlog in H2 2026 and field execution in H2 2027. Supports J's energy &amp; power segment.</w:t>
            </w:r>
          </w:p>
        </w:tc>
        <w:tc>
          <w:tcPr>
            <w:tcW w:type="dxa" w:w="2160"/>
          </w:tcPr>
          <w:p>
            <w:r>
              <w:rPr>
                <w:rFonts w:ascii="Calibri" w:hAnsi="Calibri"/>
                <w:sz w:val="22"/>
              </w:rPr>
              <w:t>PWR's large transmission project timing (field execution H2 2027) means near-term revenue impact for J may be limited; booking signal is more relevant.</w:t>
            </w:r>
          </w:p>
        </w:tc>
      </w:tr>
      <w:tr>
        <w:tc>
          <w:tcPr>
            <w:tcW w:type="dxa" w:w="2160"/>
          </w:tcPr>
          <w:p>
            <w:r>
              <w:rPr>
                <w:rFonts w:ascii="Calibri" w:hAnsi="Calibri"/>
                <w:sz w:val="22"/>
              </w:rPr>
              <w:t>Margins</w:t>
            </w:r>
          </w:p>
        </w:tc>
        <w:tc>
          <w:tcPr>
            <w:tcW w:type="dxa" w:w="2160"/>
          </w:tcPr>
          <w:p>
            <w:r>
              <w:rPr>
                <w:rFonts w:ascii="Calibri" w:hAnsi="Calibri"/>
                <w:sz w:val="22"/>
              </w:rPr>
              <w:t>"We're getting favorable contracting terms across the business... The versatility of our workforce and our customer centric delivery model are translating to greater scope, better resource utilization, elevated revenues, and improved margins." — Jayshree Desai, CFO</w:t>
            </w:r>
          </w:p>
        </w:tc>
        <w:tc>
          <w:tcPr>
            <w:tcW w:type="dxa" w:w="2160"/>
          </w:tcPr>
          <w:p>
            <w:r>
              <w:rPr>
                <w:rFonts w:ascii="Calibri" w:hAnsi="Calibri"/>
                <w:b/>
                <w:color w:val="30A46C"/>
                <w:sz w:val="22"/>
              </w:rPr>
              <w:t>Positive</w:t>
            </w:r>
            <w:r>
              <w:rPr>
                <w:rFonts w:ascii="Calibri" w:hAnsi="Calibri"/>
                <w:sz w:val="22"/>
              </w:rPr>
              <w:t>: Favorable pricing environment and improved contracting terms across infrastructure sectors. Supports J's own margin expansion narrative.</w:t>
            </w:r>
          </w:p>
        </w:tc>
        <w:tc>
          <w:tcPr>
            <w:tcW w:type="dxa" w:w="2160"/>
          </w:tcPr>
          <w:p>
            <w:r>
              <w:rPr>
                <w:rFonts w:ascii="Calibri" w:hAnsi="Calibri"/>
                <w:sz w:val="22"/>
              </w:rPr>
              <w:t>PWR's margin profile (construction/EPC) differs from J's professional services mix; absolute margin levels are not directly comparable.</w:t>
            </w:r>
          </w:p>
        </w:tc>
      </w:tr>
      <w:tr>
        <w:tc>
          <w:tcPr>
            <w:tcW w:type="dxa" w:w="2160"/>
          </w:tcPr>
          <w:p>
            <w:r>
              <w:rPr>
                <w:rFonts w:ascii="Calibri" w:hAnsi="Calibri"/>
                <w:sz w:val="22"/>
              </w:rPr>
              <w:t>Advanced Manufacturing / Onshoring</w:t>
            </w:r>
          </w:p>
        </w:tc>
        <w:tc>
          <w:tcPr>
            <w:tcW w:type="dxa" w:w="2160"/>
          </w:tcPr>
          <w:p>
            <w:r>
              <w:rPr>
                <w:rFonts w:ascii="Calibri" w:hAnsi="Calibri"/>
                <w:sz w:val="22"/>
              </w:rPr>
              <w:t>"We're involved in all kinds of manufacturing... onshoring manufacturing, medical across the board. We're picking up on both sides of that. Our renewable business... we're setting records there." — Duke Austin, CEO</w:t>
            </w:r>
          </w:p>
        </w:tc>
        <w:tc>
          <w:tcPr>
            <w:tcW w:type="dxa" w:w="2160"/>
          </w:tcPr>
          <w:p>
            <w:r>
              <w:rPr>
                <w:rFonts w:ascii="Calibri" w:hAnsi="Calibri"/>
                <w:b/>
                <w:color w:val="30A46C"/>
                <w:sz w:val="22"/>
              </w:rPr>
              <w:t>Positive</w:t>
            </w:r>
            <w:r>
              <w:rPr>
                <w:rFonts w:ascii="Calibri" w:hAnsi="Calibri"/>
                <w:sz w:val="22"/>
              </w:rPr>
              <w:t>: Broad-based advanced manufacturing demand (including medical/life sciences) and record renewables activity. Directly supports J's life sciences and advanced manufacturing segment.</w:t>
            </w:r>
          </w:p>
        </w:tc>
        <w:tc>
          <w:tcPr>
            <w:tcW w:type="dxa" w:w="2160"/>
          </w:tcPr>
          <w:p>
            <w:r>
              <w:rPr>
                <w:rFonts w:ascii="Calibri" w:hAnsi="Calibri"/>
                <w:sz w:val="22"/>
              </w:rPr>
              <w:t>PWR's manufacturing exposure is primarily electrical/mechanical installation; J's role is design and engineering. Complementary rather than directly comparable.</w:t>
            </w:r>
          </w:p>
        </w:tc>
      </w:tr>
    </w:tbl>
    <w:p>
      <w:pPr>
        <w:pStyle w:val="Heading3"/>
      </w:pPr>
      <w:r>
        <w:rPr>
          <w:rFonts w:ascii="Calibri" w:hAnsi="Calibri"/>
          <w:b/>
          <w:color w:val="3B4259"/>
          <w:sz w:val="24"/>
        </w:rPr>
        <w:t>MasTec (MTZ) — Q2 2026 Earnings Call, July 31,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Forward-Looking Commentary</w:t>
            </w:r>
          </w:p>
        </w:tc>
        <w:tc>
          <w:tcPr>
            <w:tcW w:type="dxa" w:w="2160"/>
            <w:shd w:val="clear" w:color="auto" w:fill="3B4259"/>
          </w:tcPr>
          <w:p>
            <w:r>
              <w:rPr>
                <w:rFonts w:ascii="Calibri" w:hAnsi="Calibri"/>
                <w:b/>
                <w:color w:val="FFFFFF"/>
                <w:sz w:val="22"/>
              </w:rPr>
              <w:t>Signal for J</w:t>
            </w:r>
          </w:p>
        </w:tc>
        <w:tc>
          <w:tcPr>
            <w:tcW w:type="dxa" w:w="2160"/>
            <w:shd w:val="clear" w:color="auto" w:fill="3B4259"/>
          </w:tcPr>
          <w:p>
            <w:r>
              <w:rPr>
                <w:rFonts w:ascii="Calibri" w:hAnsi="Calibri"/>
                <w:b/>
                <w:color w:val="FFFFFF"/>
                <w:sz w:val="22"/>
              </w:rPr>
              <w:t>Comparability Caveat</w:t>
            </w:r>
          </w:p>
        </w:tc>
      </w:tr>
      <w:tr>
        <w:tc>
          <w:tcPr>
            <w:tcW w:type="dxa" w:w="2160"/>
          </w:tcPr>
          <w:p>
            <w:r>
              <w:rPr>
                <w:rFonts w:ascii="Calibri" w:hAnsi="Calibri"/>
                <w:sz w:val="22"/>
              </w:rPr>
              <w:t>Overall Demand &amp; Backlog Outlook</w:t>
            </w:r>
          </w:p>
        </w:tc>
        <w:tc>
          <w:tcPr>
            <w:tcW w:type="dxa" w:w="2160"/>
          </w:tcPr>
          <w:p>
            <w:r>
              <w:rPr>
                <w:rFonts w:ascii="Calibri" w:hAnsi="Calibri"/>
                <w:sz w:val="22"/>
              </w:rPr>
              <w:t>"While we recognize there has been increased noise in recent weeks related to market dynamics, the pace of project bids, negotiations and longer term development is as strong as we've ever seen... To reiterate, we are seeing unprecedented demand across our business, and we expect that to translate into further continued strong backlog growth." — Jose Mas, CEO. Also: "Since Investor Day two and a half months ago, our visibility in our business has significantly improved. The number of projects, especially large pursuits that we're pursuing has significantly increased since Investor Day."</w:t>
            </w:r>
          </w:p>
        </w:tc>
        <w:tc>
          <w:tcPr>
            <w:tcW w:type="dxa" w:w="2160"/>
          </w:tcPr>
          <w:p>
            <w:r>
              <w:rPr>
                <w:rFonts w:ascii="Calibri" w:hAnsi="Calibri"/>
                <w:b/>
                <w:color w:val="30A46C"/>
                <w:sz w:val="22"/>
              </w:rPr>
              <w:t>Positive</w:t>
            </w:r>
            <w:r>
              <w:rPr>
                <w:rFonts w:ascii="Calibri" w:hAnsi="Calibri"/>
                <w:sz w:val="22"/>
              </w:rPr>
              <w:t>: "Unprecedented demand" with accelerating large project pursuits since Investor Day. Directly supports J's own record backlog and pipeline commentary.</w:t>
            </w:r>
          </w:p>
        </w:tc>
        <w:tc>
          <w:tcPr>
            <w:tcW w:type="dxa" w:w="2160"/>
          </w:tcPr>
          <w:p>
            <w:r>
              <w:rPr>
                <w:rFonts w:ascii="Calibri" w:hAnsi="Calibri"/>
                <w:sz w:val="22"/>
              </w:rPr>
              <w:t>MTZ's backlog growth includes the Superior Group acquisition; organic vs. inorganic split matters for comparability.</w:t>
            </w:r>
          </w:p>
        </w:tc>
      </w:tr>
      <w:tr>
        <w:tc>
          <w:tcPr>
            <w:tcW w:type="dxa" w:w="2160"/>
          </w:tcPr>
          <w:p>
            <w:r>
              <w:rPr>
                <w:rFonts w:ascii="Calibri" w:hAnsi="Calibri"/>
                <w:sz w:val="22"/>
              </w:rPr>
              <w:t>Data Centers / AI (Generational Cycle)</w:t>
            </w:r>
          </w:p>
        </w:tc>
        <w:tc>
          <w:tcPr>
            <w:tcW w:type="dxa" w:w="2160"/>
          </w:tcPr>
          <w:p>
            <w:r>
              <w:rPr>
                <w:rFonts w:ascii="Calibri" w:hAnsi="Calibri"/>
                <w:sz w:val="22"/>
              </w:rPr>
              <w:t>"We're seeing unbelievable demand, and we're seeing no end in sight to that... Data centers are going to get built, whether it's in the United States or somewhere else." — Jose Mas, CEO. Also: "The amount of investment going into critical infrastructure right now is significant and is being driven by some very durable trends, whether that's AI and data centers, grid reliability, energy demand, critical infrastructure or connectivity."</w:t>
            </w:r>
          </w:p>
        </w:tc>
        <w:tc>
          <w:tcPr>
            <w:tcW w:type="dxa" w:w="2160"/>
          </w:tcPr>
          <w:p>
            <w:r>
              <w:rPr>
                <w:rFonts w:ascii="Calibri" w:hAnsi="Calibri"/>
                <w:b/>
                <w:color w:val="30A46C"/>
                <w:sz w:val="22"/>
              </w:rPr>
              <w:t>Positive</w:t>
            </w:r>
            <w:r>
              <w:rPr>
                <w:rFonts w:ascii="Calibri" w:hAnsi="Calibri"/>
                <w:sz w:val="22"/>
              </w:rPr>
              <w:t>: "Unbelievable demand" with "no end in sight"; data center construction is geographically flexible (dismisses state bans as overblown). Strongly supports J's 400% pipeline growth commentary.</w:t>
            </w:r>
          </w:p>
        </w:tc>
        <w:tc>
          <w:tcPr>
            <w:tcW w:type="dxa" w:w="2160"/>
          </w:tcPr>
          <w:p>
            <w:r>
              <w:rPr>
                <w:rFonts w:ascii="Calibri" w:hAnsi="Calibri"/>
                <w:sz w:val="22"/>
              </w:rPr>
              <w:t>MTZ's data center exposure is primarily construction/electrical; J's is design, engineering, and program management. MTZ's Superior acquisition specifically targets mission-critical facilities.</w:t>
            </w:r>
          </w:p>
        </w:tc>
      </w:tr>
      <w:tr>
        <w:tc>
          <w:tcPr>
            <w:tcW w:type="dxa" w:w="2160"/>
          </w:tcPr>
          <w:p>
            <w:r>
              <w:rPr>
                <w:rFonts w:ascii="Calibri" w:hAnsi="Calibri"/>
                <w:sz w:val="22"/>
              </w:rPr>
              <w:t>Power Grid / Utility</w:t>
            </w:r>
          </w:p>
        </w:tc>
        <w:tc>
          <w:tcPr>
            <w:tcW w:type="dxa" w:w="2160"/>
          </w:tcPr>
          <w:p>
            <w:r>
              <w:rPr>
                <w:rFonts w:ascii="Calibri" w:hAnsi="Calibri"/>
                <w:sz w:val="22"/>
              </w:rPr>
              <w:t>"Utilities are spending heavily on transmission system hardening and reliability... When you combine load growth, resilience, and energy transition, it creates a long duration and a highly visible opportunity set... Demand across our utility and transmission business remains very strong, driven by grid modernization, electrification system reliability, investments, and the growing power requirements associated with data center development." — Jose Mas, CEO &amp; Paul DiMarco, CFO</w:t>
            </w:r>
          </w:p>
        </w:tc>
        <w:tc>
          <w:tcPr>
            <w:tcW w:type="dxa" w:w="2160"/>
          </w:tcPr>
          <w:p>
            <w:r>
              <w:rPr>
                <w:rFonts w:ascii="Calibri" w:hAnsi="Calibri"/>
                <w:b/>
                <w:color w:val="30A46C"/>
                <w:sz w:val="22"/>
              </w:rPr>
              <w:t>Positive</w:t>
            </w:r>
            <w:r>
              <w:rPr>
                <w:rFonts w:ascii="Calibri" w:hAnsi="Calibri"/>
                <w:sz w:val="22"/>
              </w:rPr>
              <w:t>: Long-duration, highly visible utility spending cycle driven by multiple converging trends. Directly supports J's energy &amp; power segment growth.</w:t>
            </w:r>
          </w:p>
        </w:tc>
        <w:tc>
          <w:tcPr>
            <w:tcW w:type="dxa" w:w="2160"/>
          </w:tcPr>
          <w:p>
            <w:r>
              <w:rPr>
                <w:rFonts w:ascii="Calibri" w:hAnsi="Calibri"/>
                <w:sz w:val="22"/>
              </w:rPr>
              <w:t>MTZ's power delivery segment includes the Superior acquisition; margin profile (low double digits) is construction-oriented vs. J's professional services margins.</w:t>
            </w:r>
          </w:p>
        </w:tc>
      </w:tr>
      <w:tr>
        <w:tc>
          <w:tcPr>
            <w:tcW w:type="dxa" w:w="2160"/>
          </w:tcPr>
          <w:p>
            <w:r>
              <w:rPr>
                <w:rFonts w:ascii="Calibri" w:hAnsi="Calibri"/>
                <w:sz w:val="22"/>
              </w:rPr>
              <w:t>Water Infrastructure</w:t>
            </w:r>
          </w:p>
        </w:tc>
        <w:tc>
          <w:tcPr>
            <w:tcW w:type="dxa" w:w="2160"/>
          </w:tcPr>
          <w:p>
            <w:r>
              <w:rPr>
                <w:rFonts w:ascii="Calibri" w:hAnsi="Calibri"/>
                <w:sz w:val="22"/>
              </w:rPr>
              <w:t>"We're also seeing strong demand for our water infrastructure business, and that integration has gone very well." — Jose Mas, CEO</w:t>
            </w:r>
          </w:p>
        </w:tc>
        <w:tc>
          <w:tcPr>
            <w:tcW w:type="dxa" w:w="2160"/>
          </w:tcPr>
          <w:p>
            <w:r>
              <w:rPr>
                <w:rFonts w:ascii="Calibri" w:hAnsi="Calibri"/>
                <w:b/>
                <w:color w:val="30A46C"/>
                <w:sz w:val="22"/>
              </w:rPr>
              <w:t>Positive</w:t>
            </w:r>
            <w:r>
              <w:rPr>
                <w:rFonts w:ascii="Calibri" w:hAnsi="Calibri"/>
                <w:sz w:val="22"/>
              </w:rPr>
              <w:t>: Strong water infrastructure demand. Supports J's water segment, though J's environmental softness remains a separate issue.</w:t>
            </w:r>
          </w:p>
        </w:tc>
        <w:tc>
          <w:tcPr>
            <w:tcW w:type="dxa" w:w="2160"/>
          </w:tcPr>
          <w:p>
            <w:r>
              <w:rPr>
                <w:rFonts w:ascii="Calibri" w:hAnsi="Calibri"/>
                <w:sz w:val="22"/>
              </w:rPr>
              <w:t>MTZ's water business is primarily construction; J's is design, engineering, and environmental consulting. Environmental regulatory uncertainty is J-specific.</w:t>
            </w:r>
          </w:p>
        </w:tc>
      </w:tr>
      <w:tr>
        <w:tc>
          <w:tcPr>
            <w:tcW w:type="dxa" w:w="2160"/>
          </w:tcPr>
          <w:p>
            <w:r>
              <w:rPr>
                <w:rFonts w:ascii="Calibri" w:hAnsi="Calibri"/>
                <w:sz w:val="22"/>
              </w:rPr>
              <w:t>Communications (Potential Headwind — Limited J Read-Through)</w:t>
            </w:r>
          </w:p>
        </w:tc>
        <w:tc>
          <w:tcPr>
            <w:tcW w:type="dxa" w:w="2160"/>
          </w:tcPr>
          <w:p>
            <w:r>
              <w:rPr>
                <w:rFonts w:ascii="Calibri" w:hAnsi="Calibri"/>
                <w:sz w:val="22"/>
              </w:rPr>
              <w:t>"We are experiencing some pressure in our communications segment... lower wireless revenues in the second half of 2026... certain wireline project deferrals." — Jose Mas, CEO. Note: MTZ expects other segments to offset; "long term fundamentals of that business are unchanged."</w:t>
            </w:r>
          </w:p>
        </w:tc>
        <w:tc>
          <w:tcPr>
            <w:tcW w:type="dxa" w:w="2160"/>
          </w:tcPr>
          <w:p>
            <w:r>
              <w:rPr>
                <w:rFonts w:ascii="Calibri" w:hAnsi="Calibri"/>
                <w:b/>
                <w:color w:val="002FA7"/>
                <w:sz w:val="22"/>
              </w:rPr>
              <w:t>Neutral/Limited</w:t>
            </w:r>
            <w:r>
              <w:rPr>
                <w:rFonts w:ascii="Calibri" w:hAnsi="Calibri"/>
                <w:sz w:val="22"/>
              </w:rPr>
              <w:t>: MTZ's telecom softness is specific to wireless spectrum timing and wireline deferrals. J has minimal direct telecom infrastructure exposure.</w:t>
            </w:r>
          </w:p>
        </w:tc>
        <w:tc>
          <w:tcPr>
            <w:tcW w:type="dxa" w:w="2160"/>
          </w:tcPr>
          <w:p>
            <w:r>
              <w:rPr>
                <w:rFonts w:ascii="Calibri" w:hAnsi="Calibri"/>
                <w:sz w:val="22"/>
              </w:rPr>
              <w:t>J does not have a material telecom infrastructure segment; this headwind does not read through to J's business.</w:t>
            </w:r>
          </w:p>
        </w:tc>
      </w:tr>
    </w:tbl>
    <w:p>
      <w:pPr>
        <w:pStyle w:val="Heading3"/>
      </w:pPr>
      <w:r>
        <w:rPr>
          <w:rFonts w:ascii="Calibri" w:hAnsi="Calibri"/>
          <w:b/>
          <w:color w:val="3B4259"/>
          <w:sz w:val="24"/>
        </w:rPr>
        <w:t>Comfort Systems USA (FIX) — Q2 2026 Earnings Call, July 24,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Forward-Looking Commentary</w:t>
            </w:r>
          </w:p>
        </w:tc>
        <w:tc>
          <w:tcPr>
            <w:tcW w:type="dxa" w:w="2160"/>
            <w:shd w:val="clear" w:color="auto" w:fill="3B4259"/>
          </w:tcPr>
          <w:p>
            <w:r>
              <w:rPr>
                <w:rFonts w:ascii="Calibri" w:hAnsi="Calibri"/>
                <w:b/>
                <w:color w:val="FFFFFF"/>
                <w:sz w:val="22"/>
              </w:rPr>
              <w:t>Signal for J</w:t>
            </w:r>
          </w:p>
        </w:tc>
        <w:tc>
          <w:tcPr>
            <w:tcW w:type="dxa" w:w="2160"/>
            <w:shd w:val="clear" w:color="auto" w:fill="3B4259"/>
          </w:tcPr>
          <w:p>
            <w:r>
              <w:rPr>
                <w:rFonts w:ascii="Calibri" w:hAnsi="Calibri"/>
                <w:b/>
                <w:color w:val="FFFFFF"/>
                <w:sz w:val="22"/>
              </w:rPr>
              <w:t>Comparability Caveat</w:t>
            </w:r>
          </w:p>
        </w:tc>
      </w:tr>
      <w:tr>
        <w:tc>
          <w:tcPr>
            <w:tcW w:type="dxa" w:w="2160"/>
          </w:tcPr>
          <w:p>
            <w:r>
              <w:rPr>
                <w:rFonts w:ascii="Calibri" w:hAnsi="Calibri"/>
                <w:sz w:val="22"/>
              </w:rPr>
              <w:t>Overall Outlook</w:t>
            </w:r>
          </w:p>
        </w:tc>
        <w:tc>
          <w:tcPr>
            <w:tcW w:type="dxa" w:w="2160"/>
          </w:tcPr>
          <w:p>
            <w:r>
              <w:rPr>
                <w:rFonts w:ascii="Calibri" w:hAnsi="Calibri"/>
                <w:sz w:val="22"/>
              </w:rPr>
              <w:t>"Thanks to our amazing people, we expect strong, strong results for the rest of 2026 and continuing success into 2027." — Brian Lane, CEO. Also: "We are entering the second half of 2026 with a backlog that is 69% higher on a same store basis than we had at this time last year, and our project pipelines continue at historically high levels." — Trent McKenna, President</w:t>
            </w:r>
          </w:p>
        </w:tc>
        <w:tc>
          <w:tcPr>
            <w:tcW w:type="dxa" w:w="2160"/>
          </w:tcPr>
          <w:p>
            <w:r>
              <w:rPr>
                <w:rFonts w:ascii="Calibri" w:hAnsi="Calibri"/>
                <w:b/>
                <w:color w:val="30A46C"/>
                <w:sz w:val="22"/>
              </w:rPr>
              <w:t>Positive</w:t>
            </w:r>
            <w:r>
              <w:rPr>
                <w:rFonts w:ascii="Calibri" w:hAnsi="Calibri"/>
                <w:sz w:val="22"/>
              </w:rPr>
              <w:t>: "Strong, strong results" expected through H2 2026 and into 2027; historically high project pipelines. Supports J's own H2 confidence.</w:t>
            </w:r>
          </w:p>
        </w:tc>
        <w:tc>
          <w:tcPr>
            <w:tcW w:type="dxa" w:w="2160"/>
          </w:tcPr>
          <w:p>
            <w:r>
              <w:rPr>
                <w:rFonts w:ascii="Calibri" w:hAnsi="Calibri"/>
                <w:sz w:val="22"/>
              </w:rPr>
              <w:t>FIX's backlog is heavily weighted toward technology (58% of H1 revenue); J's mix is more diversified across infrastructure, life sciences, water, and PA Consulting.</w:t>
            </w:r>
          </w:p>
        </w:tc>
      </w:tr>
      <w:tr>
        <w:tc>
          <w:tcPr>
            <w:tcW w:type="dxa" w:w="2160"/>
          </w:tcPr>
          <w:p>
            <w:r>
              <w:rPr>
                <w:rFonts w:ascii="Calibri" w:hAnsi="Calibri"/>
                <w:sz w:val="22"/>
              </w:rPr>
              <w:t>Data Centers / Hyperscaler Demand</w:t>
            </w:r>
          </w:p>
        </w:tc>
        <w:tc>
          <w:tcPr>
            <w:tcW w:type="dxa" w:w="2160"/>
          </w:tcPr>
          <w:p>
            <w:r>
              <w:rPr>
                <w:rFonts w:ascii="Calibri" w:hAnsi="Calibri"/>
                <w:sz w:val="22"/>
              </w:rPr>
              <w:t>"Because we sell directly to the hyperscalers and to the most important intermediaries, we have a really good view on what they're thinking, what they're planning. And there is a very deep and calm certainty among these people that they're going to continue to build, that they absolutely need and have to do this building... We see no letdown whatsoever." — Bill George, CFO</w:t>
            </w:r>
          </w:p>
        </w:tc>
        <w:tc>
          <w:tcPr>
            <w:tcW w:type="dxa" w:w="2160"/>
          </w:tcPr>
          <w:p>
            <w:r>
              <w:rPr>
                <w:rFonts w:ascii="Calibri" w:hAnsi="Calibri"/>
                <w:b/>
                <w:color w:val="30A46C"/>
                <w:sz w:val="22"/>
              </w:rPr>
              <w:t>Positive</w:t>
            </w:r>
            <w:r>
              <w:rPr>
                <w:rFonts w:ascii="Calibri" w:hAnsi="Calibri"/>
                <w:sz w:val="22"/>
              </w:rPr>
              <w:t>: "Deep and calm certainty" from hyperscalers about continued build-out with "no letdown whatsoever." This is the strongest direct hyperscaler demand signal from any peer. Directly supports J's data center pipeline commentary.</w:t>
            </w:r>
          </w:p>
        </w:tc>
        <w:tc>
          <w:tcPr>
            <w:tcW w:type="dxa" w:w="2160"/>
          </w:tcPr>
          <w:p>
            <w:r>
              <w:rPr>
                <w:rFonts w:ascii="Calibri" w:hAnsi="Calibri"/>
                <w:sz w:val="22"/>
              </w:rPr>
              <w:t>FIX's hyperscaler relationships are primarily for MEP (mechanical, electrical, plumbing) installation; J's are for design, engineering, and full EPCM. Both are direct hyperscaler relationships.</w:t>
            </w:r>
          </w:p>
        </w:tc>
      </w:tr>
      <w:tr>
        <w:tc>
          <w:tcPr>
            <w:tcW w:type="dxa" w:w="2160"/>
          </w:tcPr>
          <w:p>
            <w:r>
              <w:rPr>
                <w:rFonts w:ascii="Calibri" w:hAnsi="Calibri"/>
                <w:sz w:val="22"/>
              </w:rPr>
              <w:t>Data Center Macro Resilience (NIMBY / Moratoriums)</w:t>
            </w:r>
          </w:p>
        </w:tc>
        <w:tc>
          <w:tcPr>
            <w:tcW w:type="dxa" w:w="2160"/>
          </w:tcPr>
          <w:p>
            <w:r>
              <w:rPr>
                <w:rFonts w:ascii="Calibri" w:hAnsi="Calibri"/>
                <w:sz w:val="22"/>
              </w:rPr>
              <w:t>"Our position on that is these data centers, as many as can be built are going to get built. There might be reasons to move them... I think at the end of the day, these things need to get built so people will figure out a place to put them and a way to get them built." — Trent McKenna, President</w:t>
            </w:r>
          </w:p>
        </w:tc>
        <w:tc>
          <w:tcPr>
            <w:tcW w:type="dxa" w:w="2160"/>
          </w:tcPr>
          <w:p>
            <w:r>
              <w:rPr>
                <w:rFonts w:ascii="Calibri" w:hAnsi="Calibri"/>
                <w:b/>
                <w:color w:val="30A46C"/>
                <w:sz w:val="22"/>
              </w:rPr>
              <w:t>Positive</w:t>
            </w:r>
            <w:r>
              <w:rPr>
                <w:rFonts w:ascii="Calibri" w:hAnsi="Calibri"/>
                <w:sz w:val="22"/>
              </w:rPr>
              <w:t>: Geographic flexibility of data center demand; local opposition does not cancel projects, it relocates them. Supports J's global delivery model and international data center pipeline.</w:t>
            </w:r>
          </w:p>
        </w:tc>
        <w:tc>
          <w:tcPr>
            <w:tcW w:type="dxa" w:w="2160"/>
          </w:tcPr>
          <w:p>
            <w:r>
              <w:rPr>
                <w:rFonts w:ascii="Calibri" w:hAnsi="Calibri"/>
                <w:sz w:val="22"/>
              </w:rPr>
              <w:t>FIX's modular business is less geographically constrained than stick-built; J's engineering services are similarly flexible globally.</w:t>
            </w:r>
          </w:p>
        </w:tc>
      </w:tr>
      <w:tr>
        <w:tc>
          <w:tcPr>
            <w:tcW w:type="dxa" w:w="2160"/>
          </w:tcPr>
          <w:p>
            <w:r>
              <w:rPr>
                <w:rFonts w:ascii="Calibri" w:hAnsi="Calibri"/>
                <w:sz w:val="22"/>
              </w:rPr>
              <w:t>Backlog &amp; Pipeline</w:t>
            </w:r>
          </w:p>
        </w:tc>
        <w:tc>
          <w:tcPr>
            <w:tcW w:type="dxa" w:w="2160"/>
          </w:tcPr>
          <w:p>
            <w:r>
              <w:rPr>
                <w:rFonts w:ascii="Calibri" w:hAnsi="Calibri"/>
                <w:sz w:val="22"/>
              </w:rPr>
              <w:t>"Bookings continued to trend upwards and our backlog increased to a new high of $14.1 billion... Since this time last year, our backlog has increased by $5.9 billion, or 73%." — Brian Lane, CEO &amp; Trent McKenna, President</w:t>
            </w:r>
          </w:p>
        </w:tc>
        <w:tc>
          <w:tcPr>
            <w:tcW w:type="dxa" w:w="2160"/>
          </w:tcPr>
          <w:p>
            <w:r>
              <w:rPr>
                <w:rFonts w:ascii="Calibri" w:hAnsi="Calibri"/>
                <w:b/>
                <w:color w:val="30A46C"/>
                <w:sz w:val="22"/>
              </w:rPr>
              <w:t>Positive</w:t>
            </w:r>
            <w:r>
              <w:rPr>
                <w:rFonts w:ascii="Calibri" w:hAnsi="Calibri"/>
                <w:sz w:val="22"/>
              </w:rPr>
              <w:t>: Record backlog with 73% YoY growth; bookings trending upward. Supports J's own record backlog trajectory and book-to-bill expectations.</w:t>
            </w:r>
          </w:p>
        </w:tc>
        <w:tc>
          <w:tcPr>
            <w:tcW w:type="dxa" w:w="2160"/>
          </w:tcPr>
          <w:p>
            <w:r>
              <w:rPr>
                <w:rFonts w:ascii="Calibri" w:hAnsi="Calibri"/>
                <w:sz w:val="22"/>
              </w:rPr>
              <w:t>FIX's backlog burn rate is 18–24 months for construction; J's backlog conversion timeline may differ given longer-duration engineering programs.</w:t>
            </w:r>
          </w:p>
        </w:tc>
      </w:tr>
      <w:tr>
        <w:tc>
          <w:tcPr>
            <w:tcW w:type="dxa" w:w="2160"/>
          </w:tcPr>
          <w:p>
            <w:r>
              <w:rPr>
                <w:rFonts w:ascii="Calibri" w:hAnsi="Calibri"/>
                <w:sz w:val="22"/>
              </w:rPr>
              <w:t>Margins</w:t>
            </w:r>
          </w:p>
        </w:tc>
        <w:tc>
          <w:tcPr>
            <w:tcW w:type="dxa" w:w="2160"/>
          </w:tcPr>
          <w:p>
            <w:r>
              <w:rPr>
                <w:rFonts w:ascii="Calibri" w:hAnsi="Calibri"/>
                <w:sz w:val="22"/>
              </w:rPr>
              <w:t>"We believe that gross profit margins are likely to continue in the strong ranges that we have averaged in recent quarters... excellent pricing that we're getting." — Bill George, CFO</w:t>
            </w:r>
          </w:p>
        </w:tc>
        <w:tc>
          <w:tcPr>
            <w:tcW w:type="dxa" w:w="2160"/>
          </w:tcPr>
          <w:p>
            <w:r>
              <w:rPr>
                <w:rFonts w:ascii="Calibri" w:hAnsi="Calibri"/>
                <w:b/>
                <w:color w:val="30A46C"/>
                <w:sz w:val="22"/>
              </w:rPr>
              <w:t>Positive</w:t>
            </w:r>
            <w:r>
              <w:rPr>
                <w:rFonts w:ascii="Calibri" w:hAnsi="Calibri"/>
                <w:sz w:val="22"/>
              </w:rPr>
              <w:t>: Sustained strong gross margins and excellent pricing power in high-demand sectors. Supports J's margin expansion narrative.</w:t>
            </w:r>
          </w:p>
        </w:tc>
        <w:tc>
          <w:tcPr>
            <w:tcW w:type="dxa" w:w="2160"/>
          </w:tcPr>
          <w:p>
            <w:r>
              <w:rPr>
                <w:rFonts w:ascii="Calibri" w:hAnsi="Calibri"/>
                <w:sz w:val="22"/>
              </w:rPr>
              <w:t>FIX's gross margins reflect MEP contractor economics; J's professional services margins are structurally different but both benefit from the same demand-driven pricing environment.</w:t>
            </w:r>
          </w:p>
        </w:tc>
      </w:tr>
    </w:tbl>
    <w:p>
      <w:pPr>
        <w:pStyle w:val="Heading3"/>
      </w:pPr>
      <w:r>
        <w:rPr>
          <w:rFonts w:ascii="Calibri" w:hAnsi="Calibri"/>
          <w:b/>
          <w:color w:val="3B4259"/>
          <w:sz w:val="24"/>
        </w:rPr>
        <w:t>Tetra Tech (TTEK) — Fiscal Q3 2026 Earnings Call, July 30,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Forward-Looking Commentary</w:t>
            </w:r>
          </w:p>
        </w:tc>
        <w:tc>
          <w:tcPr>
            <w:tcW w:type="dxa" w:w="2160"/>
            <w:shd w:val="clear" w:color="auto" w:fill="3B4259"/>
          </w:tcPr>
          <w:p>
            <w:r>
              <w:rPr>
                <w:rFonts w:ascii="Calibri" w:hAnsi="Calibri"/>
                <w:b/>
                <w:color w:val="FFFFFF"/>
                <w:sz w:val="22"/>
              </w:rPr>
              <w:t>Signal for J</w:t>
            </w:r>
          </w:p>
        </w:tc>
        <w:tc>
          <w:tcPr>
            <w:tcW w:type="dxa" w:w="2160"/>
            <w:shd w:val="clear" w:color="auto" w:fill="3B4259"/>
          </w:tcPr>
          <w:p>
            <w:r>
              <w:rPr>
                <w:rFonts w:ascii="Calibri" w:hAnsi="Calibri"/>
                <w:b/>
                <w:color w:val="FFFFFF"/>
                <w:sz w:val="22"/>
              </w:rPr>
              <w:t>Comparability Caveat</w:t>
            </w:r>
          </w:p>
        </w:tc>
      </w:tr>
      <w:tr>
        <w:tc>
          <w:tcPr>
            <w:tcW w:type="dxa" w:w="2160"/>
          </w:tcPr>
          <w:p>
            <w:r>
              <w:rPr>
                <w:rFonts w:ascii="Calibri" w:hAnsi="Calibri"/>
                <w:sz w:val="22"/>
              </w:rPr>
              <w:t>Backlog &amp; Visibility</w:t>
            </w:r>
          </w:p>
        </w:tc>
        <w:tc>
          <w:tcPr>
            <w:tcW w:type="dxa" w:w="2160"/>
          </w:tcPr>
          <w:p>
            <w:r>
              <w:rPr>
                <w:rFonts w:ascii="Calibri" w:hAnsi="Calibri"/>
                <w:sz w:val="22"/>
              </w:rPr>
              <w:t>"The increased backlog provides us with good visibility into the fourth quarter and the end of the fiscal year... We're really focused on Q4 in terms of continuing that trend and building a stable base of work that will carry us into the new fiscal year." — Roger Argus, CEO</w:t>
            </w:r>
          </w:p>
        </w:tc>
        <w:tc>
          <w:tcPr>
            <w:tcW w:type="dxa" w:w="2160"/>
          </w:tcPr>
          <w:p>
            <w:r>
              <w:rPr>
                <w:rFonts w:ascii="Calibri" w:hAnsi="Calibri"/>
                <w:b/>
                <w:color w:val="30A46C"/>
                <w:sz w:val="22"/>
              </w:rPr>
              <w:t>Positive</w:t>
            </w:r>
            <w:r>
              <w:rPr>
                <w:rFonts w:ascii="Calibri" w:hAnsi="Calibri"/>
                <w:sz w:val="22"/>
              </w:rPr>
              <w:t>: Growing backlog providing strong visibility into Q4 and FY27. TTEK's conservative backlog definition (contracted, funded, authorized only) makes this a high-quality signal.</w:t>
            </w:r>
          </w:p>
        </w:tc>
        <w:tc>
          <w:tcPr>
            <w:tcW w:type="dxa" w:w="2160"/>
          </w:tcPr>
          <w:p>
            <w:r>
              <w:rPr>
                <w:rFonts w:ascii="Calibri" w:hAnsi="Calibri"/>
                <w:sz w:val="22"/>
              </w:rPr>
              <w:t>TTEK's backlog methodology is more conservative than J's; TTEK's backlog of ~$4.5B is much smaller than J's $27B, reflecting different business scale and project types.</w:t>
            </w:r>
          </w:p>
        </w:tc>
      </w:tr>
      <w:tr>
        <w:tc>
          <w:tcPr>
            <w:tcW w:type="dxa" w:w="2160"/>
          </w:tcPr>
          <w:p>
            <w:r>
              <w:rPr>
                <w:rFonts w:ascii="Calibri" w:hAnsi="Calibri"/>
                <w:sz w:val="22"/>
              </w:rPr>
              <w:t>Data Centers / AI (Expanding Scope)</w:t>
            </w:r>
          </w:p>
        </w:tc>
        <w:tc>
          <w:tcPr>
            <w:tcW w:type="dxa" w:w="2160"/>
          </w:tcPr>
          <w:p>
            <w:r>
              <w:rPr>
                <w:rFonts w:ascii="Calibri" w:hAnsi="Calibri"/>
                <w:sz w:val="22"/>
              </w:rPr>
              <w:t>"We see the scope of work that we provide for data centers is expanding... We started with engineering commissioning type work, expanded into feasibility studies, and now doing work related to power and water supply associated with the development of new data centers." — Roger Argus, CEO. Also: "For us, we see AI as an enabler going to help us provide better solutions to our clients and grow market share, as well as gain margin expansion on our fixed price projects."</w:t>
            </w:r>
          </w:p>
        </w:tc>
        <w:tc>
          <w:tcPr>
            <w:tcW w:type="dxa" w:w="2160"/>
          </w:tcPr>
          <w:p>
            <w:r>
              <w:rPr>
                <w:rFonts w:ascii="Calibri" w:hAnsi="Calibri"/>
                <w:b/>
                <w:color w:val="30A46C"/>
                <w:sz w:val="22"/>
              </w:rPr>
              <w:t>Positive</w:t>
            </w:r>
            <w:r>
              <w:rPr>
                <w:rFonts w:ascii="Calibri" w:hAnsi="Calibri"/>
                <w:sz w:val="22"/>
              </w:rPr>
              <w:t>: Expanding scope of data center services (power, water supply) mirrors J's own full asset lifecycle model. AI as margin enabler is consistent with J's internal AI productivity narrative.</w:t>
            </w:r>
          </w:p>
        </w:tc>
        <w:tc>
          <w:tcPr>
            <w:tcW w:type="dxa" w:w="2160"/>
          </w:tcPr>
          <w:p>
            <w:r>
              <w:rPr>
                <w:rFonts w:ascii="Calibri" w:hAnsi="Calibri"/>
                <w:sz w:val="22"/>
              </w:rPr>
              <w:t>TTEK's data center revenue is ~$60M/year (relatively small); J's data center business is 3%–4% of ~$12B revenue (~$360–$480M) and growing at 100%+ YoY. Scale and growth rate differ significantly.</w:t>
            </w:r>
          </w:p>
        </w:tc>
      </w:tr>
      <w:tr>
        <w:tc>
          <w:tcPr>
            <w:tcW w:type="dxa" w:w="2160"/>
          </w:tcPr>
          <w:p>
            <w:r>
              <w:rPr>
                <w:rFonts w:ascii="Calibri" w:hAnsi="Calibri"/>
                <w:sz w:val="22"/>
              </w:rPr>
              <w:t>Water / Environment</w:t>
            </w:r>
          </w:p>
        </w:tc>
        <w:tc>
          <w:tcPr>
            <w:tcW w:type="dxa" w:w="2160"/>
          </w:tcPr>
          <w:p>
            <w:r>
              <w:rPr>
                <w:rFonts w:ascii="Calibri" w:hAnsi="Calibri"/>
                <w:sz w:val="22"/>
              </w:rPr>
              <w:t>"Across our key regions, our clients are increasing their investment in water related priorities... In the US, municipal clients are continuing to plan for modernization and expansion of their facilities... The UK's AMP cycle includes approximately £105 billion of water sector investment through the year 2030." — Roger Argus, CEO</w:t>
            </w:r>
          </w:p>
        </w:tc>
        <w:tc>
          <w:tcPr>
            <w:tcW w:type="dxa" w:w="2160"/>
          </w:tcPr>
          <w:p>
            <w:r>
              <w:rPr>
                <w:rFonts w:ascii="Calibri" w:hAnsi="Calibri"/>
                <w:b/>
                <w:color w:val="30A46C"/>
                <w:sz w:val="22"/>
              </w:rPr>
              <w:t>Positive</w:t>
            </w:r>
            <w:r>
              <w:rPr>
                <w:rFonts w:ascii="Calibri" w:hAnsi="Calibri"/>
                <w:sz w:val="22"/>
              </w:rPr>
              <w:t>: Strong and sustained global water investment cycle. Supports J's water segment; UK AMP8 cycle is directly relevant given J/PA Consulting's Ofwat contract win in Q2.</w:t>
            </w:r>
          </w:p>
        </w:tc>
        <w:tc>
          <w:tcPr>
            <w:tcW w:type="dxa" w:w="2160"/>
          </w:tcPr>
          <w:p>
            <w:r>
              <w:rPr>
                <w:rFonts w:ascii="Calibri" w:hAnsi="Calibri"/>
                <w:sz w:val="22"/>
              </w:rPr>
              <w:t>TTEK noted a reduction in federal co-funding for flood protection work; J's environmental softness is driven by different regulatory dynamics. Water treatment (municipal) remains robust for both.</w:t>
            </w:r>
          </w:p>
        </w:tc>
      </w:tr>
      <w:tr>
        <w:tc>
          <w:tcPr>
            <w:tcW w:type="dxa" w:w="2160"/>
          </w:tcPr>
          <w:p>
            <w:r>
              <w:rPr>
                <w:rFonts w:ascii="Calibri" w:hAnsi="Calibri"/>
                <w:sz w:val="22"/>
              </w:rPr>
              <w:t>Margins (Steady Expansion)</w:t>
            </w:r>
          </w:p>
        </w:tc>
        <w:tc>
          <w:tcPr>
            <w:tcW w:type="dxa" w:w="2160"/>
          </w:tcPr>
          <w:p>
            <w:r>
              <w:rPr>
                <w:rFonts w:ascii="Calibri" w:hAnsi="Calibri"/>
                <w:sz w:val="22"/>
              </w:rPr>
              <w:t>"Our long term strategic goals to improving EBITDA margins by 50 basis points annually... Next year we think 50 is about right, but it could be a little less, it could be a little bit more based on history." — Steve Burdick, CFO</w:t>
            </w:r>
          </w:p>
        </w:tc>
        <w:tc>
          <w:tcPr>
            <w:tcW w:type="dxa" w:w="2160"/>
          </w:tcPr>
          <w:p>
            <w:r>
              <w:rPr>
                <w:rFonts w:ascii="Calibri" w:hAnsi="Calibri"/>
                <w:b/>
                <w:color w:val="30A46C"/>
                <w:sz w:val="22"/>
              </w:rPr>
              <w:t>Positive</w:t>
            </w:r>
            <w:r>
              <w:rPr>
                <w:rFonts w:ascii="Calibri" w:hAnsi="Calibri"/>
                <w:sz w:val="22"/>
              </w:rPr>
              <w:t>: Steady annual margin expansion is achievable in the professional services sector. Supports J's own 75 bps/year margin expansion target for FY27–FY29.</w:t>
            </w:r>
          </w:p>
        </w:tc>
        <w:tc>
          <w:tcPr>
            <w:tcW w:type="dxa" w:w="2160"/>
          </w:tcPr>
          <w:p>
            <w:r>
              <w:rPr>
                <w:rFonts w:ascii="Calibri" w:hAnsi="Calibri"/>
                <w:sz w:val="22"/>
              </w:rPr>
              <w:t>TTEK's margin expansion is driven by front-end technical design focus; J's is driven by global delivery model, commercial model changes, and PA Consulting mix. Drivers differ but direction is consistent.</w:t>
            </w:r>
          </w:p>
        </w:tc>
      </w:tr>
    </w:tbl>
    <w:p>
      <w:r>
        <w:br w:type="page"/>
      </w:r>
    </w:p>
    <w:p>
      <w:pPr>
        <w:pStyle w:val="Heading2"/>
      </w:pPr>
      <w:r>
        <w:rPr>
          <w:rFonts w:ascii="Calibri" w:hAnsi="Calibri"/>
          <w:b/>
          <w:color w:val="3B4259"/>
          <w:sz w:val="28"/>
        </w:rPr>
        <w:t>9. Key Risks &amp; Questions for the Call</w:t>
      </w:r>
    </w:p>
    <w:p>
      <w:r>
        <w:rPr>
          <w:rFonts w:ascii="Calibri" w:hAnsi="Calibri"/>
          <w:b/>
          <w:color w:val="525866"/>
          <w:sz w:val="22"/>
        </w:rPr>
        <w:t xml:space="preserve">Key Takeaway: </w:t>
      </w:r>
      <w:r>
        <w:rPr>
          <w:rFonts w:ascii="Calibri" w:hAnsi="Calibri"/>
          <w:color w:val="525866"/>
          <w:sz w:val="22"/>
        </w:rPr>
        <w:t xml:space="preserve">The primary risk is not the Q3 print itself — where management's explicit guidance provides a clear target — but rather </w:t>
      </w:r>
      <w:r>
        <w:rPr>
          <w:rFonts w:ascii="Calibri" w:hAnsi="Calibri"/>
          <w:b/>
          <w:color w:val="525866"/>
          <w:sz w:val="22"/>
        </w:rPr>
        <w:t>whether the implied Q4 margin of 16%+ is achievable and whether FY27 estimates need to move materially higher</w:t>
      </w:r>
      <w:r>
        <w:rPr>
          <w:rFonts w:ascii="Calibri" w:hAnsi="Calibri"/>
          <w:color w:val="525866"/>
          <w:sz w:val="22"/>
        </w:rPr>
        <w:t>, which is the real debate heading into the call.</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Environmental Services Recovery Timing:</w:t>
      </w:r>
      <w:r>
        <w:rPr>
          <w:rFonts w:ascii="Calibri" w:hAnsi="Calibri"/>
          <w:color w:val="525866"/>
          <w:sz w:val="22"/>
        </w:rPr>
        <w:t xml:space="preserve"> Management guided for meaningful YoY improvement by Q4, but Q3 is still expected to show softness. If environmental bookings do not show early signs of inflection in Q3, the Q4 margin guide of 16%+ becomes harder to achieve. This is the primary downside risk to the print.</w:t>
      </w:r>
    </w:p>
    <w:p>
      <w:pPr>
        <w:pStyle w:val="ListBullet"/>
        <w:ind w:left="360" w:hanging="360"/>
      </w:pPr>
      <w:r>
        <w:rPr>
          <w:rFonts w:ascii="Calibri" w:hAnsi="Calibri"/>
          <w:b/>
          <w:color w:val="525866"/>
          <w:sz w:val="22"/>
        </w:rPr>
        <w:t>Book-to-Bill Deceleration:</w:t>
      </w:r>
      <w:r>
        <w:rPr>
          <w:rFonts w:ascii="Calibri" w:hAnsi="Calibri"/>
          <w:color w:val="525866"/>
          <w:sz w:val="22"/>
        </w:rPr>
        <w:t xml:space="preserve"> Consensus expects Q3 book-to-bill of ~1.01x, down from 1.2x in Q2 and 1.98x in Q1 (PA consolidation). Any print below 1.0x would raise questions about backlog sustainability, even if the absolute backlog level remains at record highs.</w:t>
      </w:r>
    </w:p>
    <w:p>
      <w:pPr>
        <w:pStyle w:val="ListBullet"/>
        <w:ind w:left="360" w:hanging="360"/>
      </w:pPr>
      <w:r>
        <w:rPr>
          <w:rFonts w:ascii="Calibri" w:hAnsi="Calibri"/>
          <w:b/>
          <w:color w:val="525866"/>
          <w:sz w:val="22"/>
        </w:rPr>
        <w:t>PA Consulting Integration Execution:</w:t>
      </w:r>
      <w:r>
        <w:rPr>
          <w:rFonts w:ascii="Calibri" w:hAnsi="Calibri"/>
          <w:color w:val="525866"/>
          <w:sz w:val="22"/>
        </w:rPr>
        <w:t xml:space="preserve"> The $20M+ cost synergy target is identified but not yet fully realized. Revenue synergies are in early stages. Any integration friction or delay in synergy delivery would be a negative signal.</w:t>
      </w:r>
    </w:p>
    <w:p>
      <w:pPr>
        <w:pStyle w:val="ListBullet"/>
        <w:ind w:left="360" w:hanging="360"/>
      </w:pPr>
      <w:r>
        <w:rPr>
          <w:rFonts w:ascii="Calibri" w:hAnsi="Calibri"/>
          <w:b/>
          <w:color w:val="525866"/>
          <w:sz w:val="22"/>
        </w:rPr>
        <w:t>Free Cash Flow Conversion:</w:t>
      </w:r>
      <w:r>
        <w:rPr>
          <w:rFonts w:ascii="Calibri" w:hAnsi="Calibri"/>
          <w:color w:val="525866"/>
          <w:sz w:val="22"/>
        </w:rPr>
        <w:t xml:space="preserve"> Q2 FCF was -$272M (adjusted outflow) due to PA transaction accounting. Q3 will have an additional ~$105M PA-related cash outflow. Consensus FCF for FY26 ($576M) sits below the low end of management's 7%–8.5% FCF margin guide. If H2 FCF does not track the $600M–$700M target, the FY guide becomes at risk.</w:t>
      </w:r>
    </w:p>
    <w:p>
      <w:pPr>
        <w:pStyle w:val="ListBullet"/>
        <w:ind w:left="360" w:hanging="360"/>
      </w:pPr>
      <w:r>
        <w:rPr>
          <w:rFonts w:ascii="Calibri" w:hAnsi="Calibri"/>
          <w:b/>
          <w:color w:val="525866"/>
          <w:sz w:val="22"/>
        </w:rPr>
        <w:t>Net Leverage Above Target:</w:t>
      </w:r>
      <w:r>
        <w:rPr>
          <w:rFonts w:ascii="Calibri" w:hAnsi="Calibri"/>
          <w:color w:val="525866"/>
          <w:sz w:val="22"/>
        </w:rPr>
        <w:t xml:space="preserve"> Net leverage of 2.1x at Q2 end is ~0.5x above the target range. Management guided to return below 2.0x by year-end. Any delay in deleveraging could constrain buyback capacity.</w:t>
      </w:r>
    </w:p>
    <w:p>
      <w:pPr>
        <w:pStyle w:val="ListBullet"/>
        <w:ind w:left="360" w:hanging="360"/>
      </w:pPr>
      <w:r>
        <w:rPr>
          <w:rFonts w:ascii="Calibri" w:hAnsi="Calibri"/>
          <w:b/>
          <w:color w:val="525866"/>
          <w:sz w:val="22"/>
        </w:rPr>
        <w:t>Middle East Geopolitical Risk:</w:t>
      </w:r>
      <w:r>
        <w:rPr>
          <w:rFonts w:ascii="Calibri" w:hAnsi="Calibri"/>
          <w:color w:val="525866"/>
          <w:sz w:val="22"/>
        </w:rPr>
        <w:t xml:space="preserve"> Management confirmed minimal disruption as of Q2, but the situation remains fluid. Any escalation could impact time-based mission-critical programs in Saudi Arabia and UAE.</w:t>
      </w:r>
    </w:p>
    <w:p>
      <w:pPr>
        <w:pStyle w:val="ListBullet"/>
        <w:ind w:left="360" w:hanging="360"/>
      </w:pPr>
      <w:r>
        <w:rPr>
          <w:rFonts w:ascii="Calibri" w:hAnsi="Calibri"/>
          <w:b/>
          <w:color w:val="525866"/>
          <w:sz w:val="22"/>
        </w:rPr>
        <w:t>AI Demand Durability:</w:t>
      </w:r>
      <w:r>
        <w:rPr>
          <w:rFonts w:ascii="Calibri" w:hAnsi="Calibri"/>
          <w:color w:val="525866"/>
          <w:sz w:val="22"/>
        </w:rPr>
        <w:t xml:space="preserve"> While peer commentary (FIX, PWR, MTZ) is uniformly bullish on hyperscaler demand, any signs of capex moderation from major hyperscalers would disproportionately impact J's data center pipeline, which is up 400% YoY.</w:t>
      </w:r>
    </w:p>
    <w:p>
      <w:pPr>
        <w:pStyle w:val="Heading3"/>
      </w:pPr>
      <w:r>
        <w:rPr>
          <w:rFonts w:ascii="Calibri" w:hAnsi="Calibri"/>
          <w:b/>
          <w:color w:val="3B4259"/>
          <w:sz w:val="24"/>
        </w:rPr>
        <w:t>Key Questions for the Call</w:t>
      </w:r>
    </w:p>
    <w:p>
      <w:pPr>
        <w:pStyle w:val="ListNumber"/>
        <w:ind w:left="360" w:hanging="360"/>
      </w:pPr>
      <w:r>
        <w:rPr>
          <w:rFonts w:ascii="Calibri" w:hAnsi="Calibri"/>
          <w:b/>
          <w:color w:val="525866"/>
          <w:sz w:val="22"/>
        </w:rPr>
        <w:t>Q4 Margin Bridge:</w:t>
      </w:r>
      <w:r>
        <w:rPr>
          <w:rFonts w:ascii="Calibri" w:hAnsi="Calibri"/>
          <w:color w:val="525866"/>
          <w:sz w:val="22"/>
        </w:rPr>
        <w:t xml:space="preserve"> Can you walk through the specific drivers of the implied Q4 EBITDA margin of 16%+? How much is from the extra week, PA Consulting mix, and underlying I&amp;AF margin improvement? What gives you confidence this is achievable?</w:t>
      </w:r>
    </w:p>
    <w:p>
      <w:pPr>
        <w:pStyle w:val="ListNumber"/>
        <w:ind w:left="360" w:hanging="360"/>
      </w:pPr>
      <w:r>
        <w:rPr>
          <w:rFonts w:ascii="Calibri" w:hAnsi="Calibri"/>
          <w:b/>
          <w:color w:val="525866"/>
          <w:sz w:val="22"/>
        </w:rPr>
        <w:t>Environmental Services Inflection:</w:t>
      </w:r>
      <w:r>
        <w:rPr>
          <w:rFonts w:ascii="Calibri" w:hAnsi="Calibri"/>
          <w:color w:val="525866"/>
          <w:sz w:val="22"/>
        </w:rPr>
        <w:t xml:space="preserve"> You guided for meaningful YoY improvement in environmental by Q4. Are you seeing early signs of bookings recovery in Q3? What is the pipeline trend in environmental, and what is the key catalyst for the inflection?</w:t>
      </w:r>
    </w:p>
    <w:p>
      <w:pPr>
        <w:pStyle w:val="ListNumber"/>
        <w:ind w:left="360" w:hanging="360"/>
      </w:pPr>
      <w:r>
        <w:rPr>
          <w:rFonts w:ascii="Calibri" w:hAnsi="Calibri"/>
          <w:b/>
          <w:color w:val="525866"/>
          <w:sz w:val="22"/>
        </w:rPr>
        <w:t>Data Center Pipeline Update:</w:t>
      </w:r>
      <w:r>
        <w:rPr>
          <w:rFonts w:ascii="Calibri" w:hAnsi="Calibri"/>
          <w:color w:val="525866"/>
          <w:sz w:val="22"/>
        </w:rPr>
        <w:t xml:space="preserve"> The AI infrastructure pipeline was up 400% YoY as of Q2. Can you update the pipeline growth rate and visibility horizon? Are you seeing any changes in hyperscaler project timing or scope?</w:t>
      </w:r>
    </w:p>
    <w:p>
      <w:pPr>
        <w:pStyle w:val="ListNumber"/>
        <w:ind w:left="360" w:hanging="360"/>
      </w:pPr>
      <w:r>
        <w:rPr>
          <w:rFonts w:ascii="Calibri" w:hAnsi="Calibri"/>
          <w:b/>
          <w:color w:val="525866"/>
          <w:sz w:val="22"/>
        </w:rPr>
        <w:t>Book-to-Bill Sustainability:</w:t>
      </w:r>
      <w:r>
        <w:rPr>
          <w:rFonts w:ascii="Calibri" w:hAnsi="Calibri"/>
          <w:color w:val="525866"/>
          <w:sz w:val="22"/>
        </w:rPr>
        <w:t xml:space="preserve"> Consensus expects Q3 book-to-bill of ~1.01x, a significant deceleration from Q2's 1.2x. Is this the right expectation, or are there large awards in the pipeline that could drive upside? How should we think about the TTM book-to-bill trajectory?</w:t>
      </w:r>
    </w:p>
    <w:p>
      <w:pPr>
        <w:pStyle w:val="ListNumber"/>
        <w:ind w:left="360" w:hanging="360"/>
      </w:pPr>
      <w:r>
        <w:rPr>
          <w:rFonts w:ascii="Calibri" w:hAnsi="Calibri"/>
          <w:b/>
          <w:color w:val="525866"/>
          <w:sz w:val="22"/>
        </w:rPr>
        <w:t>PA Consulting Revenue Synergies:</w:t>
      </w:r>
      <w:r>
        <w:rPr>
          <w:rFonts w:ascii="Calibri" w:hAnsi="Calibri"/>
          <w:color w:val="525866"/>
          <w:sz w:val="22"/>
        </w:rPr>
        <w:t xml:space="preserve"> Now that UK conflict-of-interest constraints are removed, can you quantify the joint pipeline that has opened up? What is the timeline for revenue synergies to become material?</w:t>
      </w:r>
    </w:p>
    <w:p>
      <w:pPr>
        <w:pStyle w:val="ListNumber"/>
        <w:ind w:left="360" w:hanging="360"/>
      </w:pPr>
      <w:r>
        <w:rPr>
          <w:rFonts w:ascii="Calibri" w:hAnsi="Calibri"/>
          <w:b/>
          <w:color w:val="525866"/>
          <w:sz w:val="22"/>
        </w:rPr>
        <w:t>FY27 Margin Setup:</w:t>
      </w:r>
      <w:r>
        <w:rPr>
          <w:rFonts w:ascii="Calibri" w:hAnsi="Calibri"/>
          <w:color w:val="525866"/>
          <w:sz w:val="22"/>
        </w:rPr>
        <w:t xml:space="preserve"> Given the implied Q4 margin of 16%+, how should we think about the FY27 EBITDA margin trajectory? Is 75 bps of annual improvement still the right framework, or is there upside to that?</w:t>
      </w:r>
    </w:p>
    <w:p>
      <w:pPr>
        <w:pStyle w:val="ListNumber"/>
        <w:ind w:left="360" w:hanging="360"/>
      </w:pPr>
      <w:r>
        <w:rPr>
          <w:rFonts w:ascii="Calibri" w:hAnsi="Calibri"/>
          <w:b/>
          <w:color w:val="525866"/>
          <w:sz w:val="22"/>
        </w:rPr>
        <w:t>Free Cash Flow H2 Confidence:</w:t>
      </w:r>
      <w:r>
        <w:rPr>
          <w:rFonts w:ascii="Calibri" w:hAnsi="Calibri"/>
          <w:color w:val="525866"/>
          <w:sz w:val="22"/>
        </w:rPr>
        <w:t xml:space="preserve"> You guided for $600M–$700M of H2 FCF. With the ~$105M PA-related Q3 cash outflow, what is the Q3 vs. Q4 split? What are the key working capital assumptions?</w:t>
      </w:r>
    </w:p>
    <w:p>
      <w:pPr>
        <w:pStyle w:val="ListNumber"/>
        <w:ind w:left="360" w:hanging="360"/>
      </w:pPr>
      <w:r>
        <w:rPr>
          <w:rFonts w:ascii="Calibri" w:hAnsi="Calibri"/>
          <w:b/>
          <w:color w:val="525866"/>
          <w:sz w:val="22"/>
        </w:rPr>
        <w:t>Life Sciences Acceleration:</w:t>
      </w:r>
      <w:r>
        <w:rPr>
          <w:rFonts w:ascii="Calibri" w:hAnsi="Calibri"/>
          <w:color w:val="525866"/>
          <w:sz w:val="22"/>
        </w:rPr>
        <w:t xml:space="preserve"> You guided for life sciences revenue growth to likely exceed Q2's 12% in H2. Is Q3 tracking above 12%? Are the reshoring projects that were in early stages now moving into field execution?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