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KDP thoroughly before writing the preview. Let me start by gathering recent earnings materials, news, and price data.Let me read the most recent earnings materials and get news on the JDE Peet's deal and coffee spin.I have rich detail on the Q1 2026 quarter and JDE Peet's. Now let me get the year-ago Q2 2025 comparison, recent stock performance, and current analyst expectations.Let me get recent analyst sentiment/news and the latest on the coffee spin timing.Important update — there's been a leadership change since the Q1 call. Let me get details.# Keurig Dr Pepper (KDP) — Q2 2026 Earnings Preview</w:t>
      </w:r>
    </w:p>
    <w:bookmarkStart w:id="9" w:name="X2743fc58a34d03061079cb9fa28f3a0dd4db9e7"/>
    <w:p>
      <w:pPr>
        <w:pStyle w:val="Heading3"/>
      </w:pPr>
      <w:r>
        <w:t xml:space="preserve">Reports before the open, Thursday, August 6, 2026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the</w:t>
      </w:r>
      <w:r>
        <w:t xml:space="preserve"> </w:t>
      </w:r>
      <w:r>
        <w:rPr>
          <w:b/>
          <w:bCs/>
        </w:rPr>
        <w:t xml:space="preserve">first quarter that matters as a "new KDP."</w:t>
      </w:r>
      <w:r>
        <w:t xml:space="preserve"> </w:t>
      </w:r>
      <w:r>
        <w:t xml:space="preserve">Q2 2026 is the first period with JDE Peet's fully consolidated (deal closed April 1), the first appearance of new below-the-line financing items, and the quarter where management has told investors EPS growth</w:t>
      </w:r>
      <w:r>
        <w:t xml:space="preserve"> </w:t>
      </w:r>
      <w:r>
        <w:rPr>
          <w:i/>
          <w:iCs/>
        </w:rPr>
        <w:t xml:space="preserve">resumes</w:t>
      </w:r>
      <w:r>
        <w:t xml:space="preserve"> </w:t>
      </w:r>
      <w:r>
        <w:t xml:space="preserve">after a soft Q1. It also lands against a live catalyst — the planned early-2027 separation into two companies — with a fresh complication: the executive tapped to run the coffee company just walked out the door. Expect the print to matter less than the guidance reaffirmation, the coffee margin trajectory, and any update on the split.</w:t>
      </w:r>
    </w:p>
    <w:p>
      <w:pPr>
        <w:pStyle w:val="BodyText"/>
      </w:pPr>
      <w:r>
        <w:rPr>
          <w:b/>
          <w:bCs/>
        </w:rPr>
        <w:t xml:space="preserve">Consensus to beat:</w:t>
      </w:r>
      <w:r>
        <w:t xml:space="preserve"> </w:t>
      </w:r>
      <w:r>
        <w:t xml:space="preserve">Street is looking for roughly</w:t>
      </w:r>
      <w:r>
        <w:t xml:space="preserve"> </w:t>
      </w:r>
      <m:oMath>
        <m:r>
          <m:t>0.53</m:t>
        </m:r>
        <m:r>
          <m:t>i</m:t>
        </m:r>
        <m:r>
          <m:t>n</m:t>
        </m:r>
        <m:r>
          <m:t>a</m:t>
        </m:r>
        <m:r>
          <m:t>d</m:t>
        </m:r>
        <m:r>
          <m:t>j</m:t>
        </m:r>
        <m:r>
          <m:t>u</m:t>
        </m:r>
        <m:r>
          <m:t>s</m:t>
        </m:r>
        <m:r>
          <m:t>t</m:t>
        </m:r>
        <m:r>
          <m:t>e</m:t>
        </m:r>
        <m:r>
          <m:t>d</m:t>
        </m:r>
        <m:r>
          <m:t>E</m:t>
        </m:r>
        <m:r>
          <m:t>P</m:t>
        </m:r>
        <m:r>
          <m:t>S</m:t>
        </m:r>
        <m:r>
          <m:rPr>
            <m:sty m:val="p"/>
          </m:rPr>
          <m:t>*</m:t>
        </m:r>
        <m:r>
          <m:rPr>
            <m:sty m:val="p"/>
          </m:rPr>
          <m:t>*</m:t>
        </m:r>
        <m:r>
          <m:t>a</m:t>
        </m:r>
        <m:r>
          <m:t>n</m:t>
        </m:r>
        <m:r>
          <m:t>d</m:t>
        </m:r>
        <m:r>
          <m:rPr>
            <m:sty m:val="p"/>
          </m:rPr>
          <m:t>*</m:t>
        </m:r>
        <m:r>
          <m:rPr>
            <m:sty m:val="p"/>
          </m:rPr>
          <m:t>*</m:t>
        </m:r>
        <m:r>
          <m:t> </m:t>
        </m:r>
      </m:oMath>
      <w:r>
        <w:rPr>
          <w:b/>
          <w:bCs/>
        </w:rPr>
        <w:t xml:space="preserve">7.05 billion in revenue</w:t>
      </w:r>
      <w:r>
        <w:t xml:space="preserve"> </w:t>
      </w:r>
      <w:r>
        <w:t xml:space="preserve">for the quarter (the revenue step-up vs. legacy ~$4bn quarters reflects the first consolidation of JDE Peet's).</w:t>
      </w:r>
    </w:p>
    <w:p>
      <w:r>
        <w:pict>
          <v:rect style="width:0;height:1.5pt" o:hralign="center" o:hrstd="t" o:hr="t"/>
        </w:pict>
      </w:r>
    </w:p>
    <w:bookmarkEnd w:id="10"/>
    <w:bookmarkStart w:id="11" w:name="X730a25f3fb1086c82cf0a7b7320cbbb429304c0"/>
    <w:p>
      <w:pPr>
        <w:pStyle w:val="Heading2"/>
      </w:pPr>
      <w:r>
        <w:t xml:space="preserve">1. What management already promised for Q2 — and why it's the crux</w:t>
      </w:r>
    </w:p>
    <w:p>
      <w:pPr>
        <w:pStyle w:val="FirstParagraph"/>
      </w:pPr>
      <w:r>
        <w:t xml:space="preserve">On the Q1 call (reported April 23), CFO Anthony DiSilvestro was unusually specific about the shape of the year:</w:t>
      </w:r>
    </w:p>
    <w:p>
      <w:pPr>
        <w:pStyle w:val="Compact"/>
        <w:numPr>
          <w:ilvl w:val="0"/>
          <w:numId w:val="1001"/>
        </w:numPr>
      </w:pPr>
      <w:r>
        <w:t xml:space="preserve">Q1 EPS</w:t>
      </w:r>
      <w:r>
        <w:t xml:space="preserve"> </w:t>
      </w:r>
      <w:r>
        <w:rPr>
          <w:i/>
          <w:iCs/>
        </w:rPr>
        <w:t xml:space="preserve">fell</w:t>
      </w:r>
      <w:r>
        <w:t xml:space="preserve"> </w:t>
      </w:r>
      <w:r>
        <w:t xml:space="preserve">7.1% to $0.39 — but that was framed as the trough, hit by peak green-coffee cost hedges, tariffs, coffee pod trade-inventory destocking, and lapping a year-ago Vita Coco gain.</w:t>
      </w:r>
    </w:p>
    <w:p>
      <w:pPr>
        <w:pStyle w:val="Compact"/>
        <w:numPr>
          <w:ilvl w:val="0"/>
          <w:numId w:val="1001"/>
        </w:numPr>
      </w:pPr>
      <w:r>
        <w:t xml:space="preserve">Management guided to</w:t>
      </w:r>
      <w:r>
        <w:t xml:space="preserve"> </w:t>
      </w:r>
      <w:r>
        <w:rPr>
          <w:b/>
          <w:bCs/>
        </w:rPr>
        <w:t xml:space="preserve">high-single-digit total-company EPS growth in Q2</w:t>
      </w:r>
      <w:r>
        <w:t xml:space="preserve">, then</w:t>
      </w:r>
      <w:r>
        <w:t xml:space="preserve"> </w:t>
      </w:r>
      <w:r>
        <w:rPr>
          <w:b/>
          <w:bCs/>
        </w:rPr>
        <w:t xml:space="preserve">acceleration in the back half</w:t>
      </w:r>
      <w:r>
        <w:t xml:space="preserve">.</w:t>
      </w:r>
    </w:p>
    <w:p>
      <w:pPr>
        <w:pStyle w:val="Compact"/>
        <w:numPr>
          <w:ilvl w:val="0"/>
          <w:numId w:val="1001"/>
        </w:numPr>
      </w:pPr>
      <w:r>
        <w:t xml:space="preserve">Full-year 2026 guidance was</w:t>
      </w:r>
      <w:r>
        <w:t xml:space="preserve"> </w:t>
      </w:r>
      <w:r>
        <w:rPr>
          <w:b/>
          <w:bCs/>
        </w:rPr>
        <w:t xml:space="preserve">reaffirmed</w:t>
      </w:r>
      <w:r>
        <w:t xml:space="preserve">: total net sales of</w:t>
      </w:r>
      <w:r>
        <w:t xml:space="preserve"> </w:t>
      </w:r>
      <m:oMath>
        <m:r>
          <m:t>25.9</m:t>
        </m:r>
        <m:r>
          <m:rPr>
            <m:sty m:val="p"/>
          </m:rPr>
          <m:t>–</m:t>
        </m:r>
        <m:r>
          <m:t>26.4</m:t>
        </m:r>
        <m:r>
          <m:t>b</m:t>
        </m:r>
        <m:r>
          <m:t>n</m:t>
        </m:r>
        <m:r>
          <m:rPr>
            <m:sty m:val="p"/>
          </m:rPr>
          <m:t>*</m:t>
        </m:r>
        <m:r>
          <m:rPr>
            <m:sty m:val="p"/>
          </m:rPr>
          <m:t>*</m:t>
        </m:r>
        <m:r>
          <m:rPr>
            <m:sty m:val="p"/>
          </m:rPr>
          <m:t>(</m:t>
        </m:r>
        <m:r>
          <m:t>w</m:t>
        </m:r>
        <m:r>
          <m:t>i</m:t>
        </m:r>
        <m:r>
          <m:t>t</m:t>
        </m:r>
        <m:r>
          <m:t>h</m:t>
        </m:r>
        <m:r>
          <m:rPr>
            <m:sty m:val="p"/>
          </m:rPr>
          <m:t>*</m:t>
        </m:r>
        <m:r>
          <m:rPr>
            <m:sty m:val="p"/>
          </m:rPr>
          <m:t>*</m:t>
        </m:r>
      </m:oMath>
      <w:r>
        <w:rPr>
          <w:b/>
          <w:bCs/>
        </w:rPr>
        <w:t xml:space="preserve">8.5–8.7bn</w:t>
      </w:r>
      <w:r>
        <w:t xml:space="preserve"> </w:t>
      </w:r>
      <w:r>
        <w:t xml:space="preserve">from JDE Peet's), and</w:t>
      </w:r>
      <w:r>
        <w:t xml:space="preserve"> </w:t>
      </w:r>
      <w:r>
        <w:rPr>
          <w:b/>
          <w:bCs/>
        </w:rPr>
        <w:t xml:space="preserve">low-double-digit constant-currency EPS growth</w:t>
      </w:r>
      <w:r>
        <w:t xml:space="preserve"> </w:t>
      </w:r>
      <w:r>
        <w:t xml:space="preserve">(of which 6–7 pts is the JDEP contribution and 4–6% is legacy KDP).</w:t>
      </w:r>
    </w:p>
    <w:p>
      <w:pPr>
        <w:pStyle w:val="FirstParagraph"/>
      </w:pPr>
      <w:r>
        <w:rPr>
          <w:b/>
          <w:bCs/>
        </w:rPr>
        <w:t xml:space="preserve">Why it's the crux:</w:t>
      </w:r>
      <w:r>
        <w:t xml:space="preserve"> </w:t>
      </w:r>
      <w:r>
        <w:t xml:space="preserve">Q1 was a "trust us, it gets better" quarter. Q2 is the first proof point. The single most important question going in is whether the EPS inflection actually shows up. A clean high-single-digit EPS quarter</w:t>
      </w:r>
      <w:r>
        <w:t xml:space="preserve"> </w:t>
      </w:r>
      <w:r>
        <w:rPr>
          <w:i/>
          <w:iCs/>
        </w:rPr>
        <w:t xml:space="preserve">and</w:t>
      </w:r>
      <w:r>
        <w:t xml:space="preserve"> </w:t>
      </w:r>
      <w:r>
        <w:t xml:space="preserve">a reaffirmed (or nudged) full-year keeps the deleveraging/separation story on the rails. A miss here would call the whole H2 hockey stick into question — because the back half is doing a lot of the heavy lifting in the annual guide.</w:t>
      </w:r>
    </w:p>
    <w:p>
      <w:r>
        <w:pict>
          <v:rect style="width:0;height:1.5pt" o:hralign="center" o:hrstd="t" o:hr="t"/>
        </w:pict>
      </w:r>
    </w:p>
    <w:bookmarkEnd w:id="11"/>
    <w:bookmarkStart w:id="12" w:name="Xdec5d78da7ebeb01b1826daa7a4650e9f967b66"/>
    <w:p>
      <w:pPr>
        <w:pStyle w:val="Heading2"/>
      </w:pPr>
      <w:r>
        <w:t xml:space="preserve">2. Segment scorecard — what to watch in each</w:t>
      </w:r>
    </w:p>
    <w:p>
      <w:pPr>
        <w:pStyle w:val="FirstParagraph"/>
      </w:pPr>
      <w:r>
        <w:rPr>
          <w:b/>
          <w:bCs/>
        </w:rPr>
        <w:t xml:space="preserve">U.S. Refreshment Beverages (the engine, but the comp gets harder).</w:t>
      </w:r>
      <w:r>
        <w:t xml:space="preserve"> </w:t>
      </w:r>
      <w:r>
        <w:t xml:space="preserve">This has been the star: Q1 net sales +11.9% and operating income +9.8%, led by CSDs (Dr Pepper, Canada Dry Fruit Splash), plus energy (GHOST, Bloom, C4, Black Rifle now &gt;$1bn run-rate) and Electrolit sports hydration.</w:t>
      </w:r>
      <w:r>
        <w:t xml:space="preserve"> </w:t>
      </w:r>
      <w:r>
        <w:rPr>
          <w:b/>
          <w:bCs/>
        </w:rPr>
        <w:t xml:space="preserve">Two things to calibrate for Q2:</w:t>
      </w:r>
    </w:p>
    <w:p>
      <w:pPr>
        <w:pStyle w:val="Compact"/>
        <w:numPr>
          <w:ilvl w:val="0"/>
          <w:numId w:val="1002"/>
        </w:numPr>
      </w:pPr>
      <w:r>
        <w:rPr>
          <w:b/>
          <w:bCs/>
        </w:rPr>
        <w:t xml:space="preserve">The GHOST lap.</w:t>
      </w:r>
      <w:r>
        <w:t xml:space="preserve"> </w:t>
      </w:r>
      <w:r>
        <w:t xml:space="preserve">A year ago (Q2 2025), GHOST added ~6.6 pts to USRB volume/mix. Management flagged on the Q1 call that ~2 pts of Q1's growth was a one-time incremental-distribution benefit that is now cycling. So USRB growth should</w:t>
      </w:r>
      <w:r>
        <w:t xml:space="preserve"> </w:t>
      </w:r>
      <w:r>
        <w:rPr>
          <w:i/>
          <w:iCs/>
        </w:rPr>
        <w:t xml:space="preserve">moderate</w:t>
      </w:r>
      <w:r>
        <w:t xml:space="preserve"> </w:t>
      </w:r>
      <w:r>
        <w:t xml:space="preserve">off the double-digit Q1 pace — that's expected, not a red flag.</w:t>
      </w:r>
    </w:p>
    <w:p>
      <w:pPr>
        <w:pStyle w:val="Compact"/>
        <w:numPr>
          <w:ilvl w:val="0"/>
          <w:numId w:val="1002"/>
        </w:numPr>
      </w:pPr>
      <w:r>
        <w:rPr>
          <w:b/>
          <w:bCs/>
        </w:rPr>
        <w:t xml:space="preserve">Dr Pepper Creamy Coconut</w:t>
      </w:r>
      <w:r>
        <w:t xml:space="preserve"> </w:t>
      </w:r>
      <w:r>
        <w:t xml:space="preserve">relaunched in April and should be a Q2 tailwind, partly offsetting the GHOST fade. Watch whether the "dirty soda" LTO delivers.</w:t>
      </w:r>
    </w:p>
    <w:p>
      <w:pPr>
        <w:pStyle w:val="Compact"/>
        <w:numPr>
          <w:ilvl w:val="0"/>
          <w:numId w:val="1002"/>
        </w:numPr>
      </w:pPr>
      <w:r>
        <w:t xml:space="preserve">Also monitor</w:t>
      </w:r>
      <w:r>
        <w:t xml:space="preserve"> </w:t>
      </w:r>
      <w:r>
        <w:rPr>
          <w:b/>
          <w:bCs/>
        </w:rPr>
        <w:t xml:space="preserve">SNAP-benefit changes</w:t>
      </w:r>
      <w:r>
        <w:t xml:space="preserve"> </w:t>
      </w:r>
      <w:r>
        <w:t xml:space="preserve">and low-income-consumer softness — management said impacts have been "manageable" so far.</w:t>
      </w:r>
    </w:p>
    <w:p>
      <w:pPr>
        <w:pStyle w:val="FirstParagraph"/>
      </w:pPr>
      <w:r>
        <w:rPr>
          <w:b/>
          <w:bCs/>
        </w:rPr>
        <w:t xml:space="preserve">U.S. Coffee (the swing factor for the whole thesis).</w:t>
      </w:r>
      <w:r>
        <w:t xml:space="preserve"> </w:t>
      </w:r>
      <w:r>
        <w:t xml:space="preserve">Q1 was ugly on purpose: sales -2.3%, operating income</w:t>
      </w:r>
      <w:r>
        <w:t xml:space="preserve"> </w:t>
      </w:r>
      <w:r>
        <w:rPr>
          <w:b/>
          <w:bCs/>
        </w:rPr>
        <w:t xml:space="preserve">-21.3%</w:t>
      </w:r>
      <w:r>
        <w:t xml:space="preserve">, pods -7% on retailer destocking. Management insists the category is healthy (Keurig-compatible retail +~4%) and that the profit decline was the</w:t>
      </w:r>
      <w:r>
        <w:t xml:space="preserve"> </w:t>
      </w:r>
      <w:r>
        <w:rPr>
          <w:i/>
          <w:iCs/>
        </w:rPr>
        <w:t xml:space="preserve">peak</w:t>
      </w:r>
      <w:r>
        <w:t xml:space="preserve"> </w:t>
      </w:r>
      <w:r>
        <w:t xml:space="preserve">year-over-year hit from high-cost green-coffee hedges and tariffs that lag spot prices by 6–9 months. Wells Fargo pushed back on the Q1 call, noting consensus implies **~1,000 bps of coffee margin improvement in H2** — a big ask.</w:t>
      </w:r>
      <w:r>
        <w:t xml:space="preserve"> </w:t>
      </w:r>
      <w:r>
        <w:rPr>
          <w:b/>
          <w:bCs/>
        </w:rPr>
        <w:t xml:space="preserve">In Q2, watch for:</w:t>
      </w:r>
    </w:p>
    <w:p>
      <w:pPr>
        <w:pStyle w:val="Compact"/>
        <w:numPr>
          <w:ilvl w:val="0"/>
          <w:numId w:val="1003"/>
        </w:numPr>
      </w:pPr>
      <w:r>
        <w:t xml:space="preserve">Sequential improvement in pod shipments (does POS finally translate to shipments?).</w:t>
      </w:r>
    </w:p>
    <w:p>
      <w:pPr>
        <w:pStyle w:val="Compact"/>
        <w:numPr>
          <w:ilvl w:val="0"/>
          <w:numId w:val="1003"/>
        </w:numPr>
      </w:pPr>
      <w:r>
        <w:t xml:space="preserve">Any commentary that green-coffee costs are becoming a</w:t>
      </w:r>
      <w:r>
        <w:t xml:space="preserve"> </w:t>
      </w:r>
      <w:r>
        <w:rPr>
          <w:b/>
          <w:bCs/>
        </w:rPr>
        <w:t xml:space="preserve">2027 tailwind</w:t>
      </w:r>
      <w:r>
        <w:t xml:space="preserve"> </w:t>
      </w:r>
      <w:r>
        <w:t xml:space="preserve">(management already hinted at this).</w:t>
      </w:r>
    </w:p>
    <w:p>
      <w:pPr>
        <w:pStyle w:val="Compact"/>
        <w:numPr>
          <w:ilvl w:val="0"/>
          <w:numId w:val="1003"/>
        </w:numPr>
      </w:pPr>
      <w:r>
        <w:t xml:space="preserve">Progress on Keurig Coffee Collective, the Nestlé/Starbucks K-Cup renewal, and the</w:t>
      </w:r>
      <w:r>
        <w:t xml:space="preserve"> </w:t>
      </w:r>
      <w:r>
        <w:rPr>
          <w:b/>
          <w:bCs/>
        </w:rPr>
        <w:t xml:space="preserve">Keurig Alta</w:t>
      </w:r>
      <w:r>
        <w:t xml:space="preserve"> </w:t>
      </w:r>
      <w:r>
        <w:t xml:space="preserve">next-gen system launch (targeted late 2026).</w:t>
      </w:r>
    </w:p>
    <w:p>
      <w:pPr>
        <w:pStyle w:val="FirstParagraph"/>
      </w:pPr>
      <w:r>
        <w:rPr>
          <w:b/>
          <w:bCs/>
        </w:rPr>
        <w:t xml:space="preserve">International (quietly under pressure).</w:t>
      </w:r>
      <w:r>
        <w:t xml:space="preserve"> </w:t>
      </w:r>
      <w:r>
        <w:t xml:space="preserve">Q1 sales +8.5% cc but operating income</w:t>
      </w:r>
      <w:r>
        <w:t xml:space="preserve"> </w:t>
      </w:r>
      <w:r>
        <w:rPr>
          <w:b/>
          <w:bCs/>
        </w:rPr>
        <w:t xml:space="preserve">-15.1%</w:t>
      </w:r>
      <w:r>
        <w:t xml:space="preserve">, hurt by the Mexico beverage tax, FX, and step-up investment. Management expects this to improve as the year progresses; Q2 is a check on that recovery.</w:t>
      </w:r>
    </w:p>
    <w:p>
      <w:pPr>
        <w:pStyle w:val="BodyText"/>
      </w:pPr>
      <w:r>
        <w:rPr>
          <w:b/>
          <w:bCs/>
        </w:rPr>
        <w:t xml:space="preserve">JDE Peet's (brand-new consolidated segment).</w:t>
      </w:r>
      <w:r>
        <w:t xml:space="preserve"> </w:t>
      </w:r>
      <w:r>
        <w:t xml:space="preserve">First full quarter in the numbers. JDEP will be reported as a</w:t>
      </w:r>
      <w:r>
        <w:t xml:space="preserve"> </w:t>
      </w:r>
      <w:r>
        <w:rPr>
          <w:b/>
          <w:bCs/>
        </w:rPr>
        <w:t xml:space="preserve">separate segment until separation</w:t>
      </w:r>
      <w:r>
        <w:t xml:space="preserve">. For context, JDEP did</w:t>
      </w:r>
      <w:r>
        <w:t xml:space="preserve"> </w:t>
      </w:r>
      <w:r>
        <w:rPr>
          <w:b/>
          <w:bCs/>
        </w:rPr>
        <w:t xml:space="preserve">€9.9bn revenue in 2025</w:t>
      </w:r>
      <w:r>
        <w:t xml:space="preserve"> </w:t>
      </w:r>
      <w:r>
        <w:t xml:space="preserve">(coffee ~90% of sales) with segment-adjusted EBIT roughly flat year-over-year as it absorbed record green-coffee inflation. Its quarterly profit follows the same coffee-cost lag as KDP's U.S. coffee — so expect a</w:t>
      </w:r>
      <w:r>
        <w:t xml:space="preserve"> </w:t>
      </w:r>
      <w:r>
        <w:rPr>
          <w:b/>
          <w:bCs/>
        </w:rPr>
        <w:t xml:space="preserve">profit-constrained H1, improving H2</w:t>
      </w:r>
      <w:r>
        <w:t xml:space="preserve">. Watch for the first hard data points on the</w:t>
      </w:r>
      <w:r>
        <w:t xml:space="preserve"> </w:t>
      </w:r>
      <w:r>
        <w:rPr>
          <w:b/>
          <w:bCs/>
        </w:rPr>
        <w:t xml:space="preserve">$400m synergy</w:t>
      </w:r>
      <w:r>
        <w:t xml:space="preserve"> </w:t>
      </w:r>
      <w:r>
        <w:t xml:space="preserve">target and North American revenue synergies between Peet's and Keurig.</w:t>
      </w:r>
    </w:p>
    <w:p>
      <w:r>
        <w:pict>
          <v:rect style="width:0;height:1.5pt" o:hralign="center" o:hrstd="t" o:hr="t"/>
        </w:pict>
      </w:r>
    </w:p>
    <w:bookmarkEnd w:id="12"/>
    <w:bookmarkStart w:id="13" w:name="Xe4927f7507142e8531ef8122edb82c90681a599"/>
    <w:p>
      <w:pPr>
        <w:pStyle w:val="Heading2"/>
      </w:pPr>
      <w:r>
        <w:t xml:space="preserve">3. The below-the-line items that will confuse the headline</w:t>
      </w:r>
    </w:p>
    <w:p>
      <w:pPr>
        <w:pStyle w:val="FirstParagraph"/>
      </w:pPr>
      <w:r>
        <w:t xml:space="preserve">Starting</w:t>
      </w:r>
      <w:r>
        <w:t xml:space="preserve"> </w:t>
      </w:r>
      <w:r>
        <w:rPr>
          <w:b/>
          <w:bCs/>
        </w:rPr>
        <w:t xml:space="preserve">this quarter</w:t>
      </w:r>
      <w:r>
        <w:t xml:space="preserve">, the P&amp;L gets two new moving parts from the JDEP financing structure — easy to trip over in the reported number:</w:t>
      </w:r>
    </w:p>
    <w:p>
      <w:pPr>
        <w:pStyle w:val="Compact"/>
        <w:numPr>
          <w:ilvl w:val="0"/>
          <w:numId w:val="1004"/>
        </w:numPr>
      </w:pPr>
      <w:r>
        <w:rPr>
          <w:b/>
          <w:bCs/>
        </w:rPr>
        <w:t xml:space="preserve">~$190m of pretax Coffee JV costs</w:t>
      </w:r>
      <w:r>
        <w:t xml:space="preserve"> </w:t>
      </w:r>
      <w:r>
        <w:t xml:space="preserve">(for the balance of 2026) flowing through the</w:t>
      </w:r>
      <w:r>
        <w:t xml:space="preserve"> </w:t>
      </w:r>
      <w:r>
        <w:rPr>
          <w:b/>
          <w:bCs/>
        </w:rPr>
        <w:t xml:space="preserve">noncontrolling-interest</w:t>
      </w:r>
      <w:r>
        <w:t xml:space="preserve"> </w:t>
      </w:r>
      <w:r>
        <w:t xml:space="preserve">line (the $4bn pod-manufacturing JV).</w:t>
      </w:r>
    </w:p>
    <w:p>
      <w:pPr>
        <w:pStyle w:val="Compact"/>
        <w:numPr>
          <w:ilvl w:val="0"/>
          <w:numId w:val="1004"/>
        </w:numPr>
      </w:pPr>
      <w:r>
        <w:rPr>
          <w:b/>
          <w:bCs/>
        </w:rPr>
        <w:t xml:space="preserve">Convertible preferred costs</w:t>
      </w:r>
      <w:r>
        <w:t xml:space="preserve"> </w:t>
      </w:r>
      <w:r>
        <w:t xml:space="preserve">(the</w:t>
      </w:r>
      <w:r>
        <w:t xml:space="preserve"> </w:t>
      </w:r>
      <m:oMath>
        <m:r>
          <m:t>4.5</m:t>
        </m:r>
        <m:r>
          <m:t>b</m:t>
        </m:r>
        <m:r>
          <m:t>n</m:t>
        </m:r>
        <m:r>
          <m:t>i</m:t>
        </m:r>
        <m:r>
          <m:t>n</m:t>
        </m:r>
        <m:r>
          <m:t>s</m:t>
        </m:r>
        <m:r>
          <m:t>t</m:t>
        </m:r>
        <m:r>
          <m:t>r</m:t>
        </m:r>
        <m:r>
          <m:t>u</m:t>
        </m:r>
        <m:r>
          <m:t>m</m:t>
        </m:r>
        <m:r>
          <m:t>e</m:t>
        </m:r>
        <m:r>
          <m:t>n</m:t>
        </m:r>
        <m:r>
          <m:t>t</m:t>
        </m:r>
        <m:r>
          <m:rPr>
            <m:sty m:val="p"/>
          </m:rPr>
          <m:t>)</m:t>
        </m:r>
        <m:r>
          <m:t>b</m:t>
        </m:r>
        <m:r>
          <m:t>e</m:t>
        </m:r>
        <m:r>
          <m:t>l</m:t>
        </m:r>
        <m:r>
          <m:t>o</m:t>
        </m:r>
        <m:r>
          <m:t>w</m:t>
        </m:r>
        <m:r>
          <m:t>n</m:t>
        </m:r>
        <m:r>
          <m:t>e</m:t>
        </m:r>
        <m:r>
          <m:t>t</m:t>
        </m:r>
        <m:r>
          <m:t>i</m:t>
        </m:r>
        <m:r>
          <m:t>n</m:t>
        </m:r>
        <m:r>
          <m:t>c</m:t>
        </m:r>
        <m:r>
          <m:t>o</m:t>
        </m:r>
        <m:r>
          <m:t>m</m:t>
        </m:r>
        <m:r>
          <m:t>e</m:t>
        </m:r>
        <m:r>
          <m:rPr>
            <m:sty m:val="p"/>
          </m:rPr>
          <m:t>,</m:t>
        </m:r>
        <m:r>
          <m:t>c</m:t>
        </m:r>
        <m:r>
          <m:t>a</m:t>
        </m:r>
        <m:r>
          <m:t>l</m:t>
        </m:r>
        <m:r>
          <m:t>c</m:t>
        </m:r>
        <m:r>
          <m:t>u</m:t>
        </m:r>
        <m:r>
          <m:t>l</m:t>
        </m:r>
        <m:r>
          <m:t>a</m:t>
        </m:r>
        <m:r>
          <m:t>t</m:t>
        </m:r>
        <m:r>
          <m:t>e</m:t>
        </m:r>
        <m:r>
          <m:t>d</m:t>
        </m:r>
        <m:r>
          <m:t>a</m:t>
        </m:r>
        <m:r>
          <m:t>s</m:t>
        </m:r>
        <m:r>
          <m:t>t</m:t>
        </m:r>
        <m:r>
          <m:t>h</m:t>
        </m:r>
        <m:r>
          <m:t>e</m:t>
        </m:r>
        <m:r>
          <m:t>g</m:t>
        </m:r>
        <m:r>
          <m:t>r</m:t>
        </m:r>
        <m:r>
          <m:t>e</m:t>
        </m:r>
        <m:r>
          <m:t>a</m:t>
        </m:r>
        <m:r>
          <m:t>t</m:t>
        </m:r>
        <m:r>
          <m:t>e</m:t>
        </m:r>
        <m:r>
          <m:t>r</m:t>
        </m:r>
        <m:r>
          <m:t>o</m:t>
        </m:r>
        <m:r>
          <m:t>f</m:t>
        </m:r>
        <m:r>
          <m:t>a</m:t>
        </m:r>
        <m:r>
          <m:rPr>
            <m:sty m:val="p"/>
          </m:rPr>
          <m:t>*</m:t>
        </m:r>
        <m:r>
          <m:rPr>
            <m:sty m:val="p"/>
          </m:rPr>
          <m:t>*</m:t>
        </m:r>
        <m:r>
          <m:t> </m:t>
        </m:r>
      </m:oMath>
      <w:r>
        <w:t xml:space="preserve">53m quarterly dividend** or ~8% of proportionate earnings — management expects the earnings-share calc to govern in 2026.</w:t>
      </w:r>
    </w:p>
    <w:p>
      <w:pPr>
        <w:pStyle w:val="FirstParagraph"/>
      </w:pPr>
      <w:r>
        <w:t xml:space="preserve">Other modeling anchors from guidance: interest expense</w:t>
      </w:r>
      <w:r>
        <w:t xml:space="preserve"> </w:t>
      </w:r>
      <w:r>
        <w:rPr>
          <w:b/>
          <w:bCs/>
        </w:rPr>
        <w:t xml:space="preserve">$1.13–1.16bn</w:t>
      </w:r>
      <w:r>
        <w:t xml:space="preserve"> </w:t>
      </w:r>
      <w:r>
        <w:t xml:space="preserve">for the year, ~22% tax rate, ~</w:t>
      </w:r>
      <w:r>
        <w:rPr>
          <w:b/>
          <w:bCs/>
        </w:rPr>
        <w:t xml:space="preserve">1.37bn diluted shares</w:t>
      </w:r>
      <w:r>
        <w:t xml:space="preserve">, and an ~1 pt FX</w:t>
      </w:r>
      <w:r>
        <w:t xml:space="preserve"> </w:t>
      </w:r>
      <w:r>
        <w:rPr>
          <w:i/>
          <w:iCs/>
        </w:rPr>
        <w:t xml:space="preserve">tailwind</w:t>
      </w:r>
      <w:r>
        <w:t xml:space="preserve"> </w:t>
      </w:r>
      <w:r>
        <w:t xml:space="preserve">to sales and EPS. Given these mechanics, focus on</w:t>
      </w:r>
      <w:r>
        <w:t xml:space="preserve"> </w:t>
      </w:r>
      <w:r>
        <w:rPr>
          <w:b/>
          <w:bCs/>
        </w:rPr>
        <w:t xml:space="preserve">adjusted, constant-currency</w:t>
      </w:r>
      <w:r>
        <w:t xml:space="preserve"> </w:t>
      </w:r>
      <w:r>
        <w:t xml:space="preserve">figures and the</w:t>
      </w:r>
      <w:r>
        <w:t xml:space="preserve"> </w:t>
      </w:r>
      <w:r>
        <w:rPr>
          <w:b/>
          <w:bCs/>
        </w:rPr>
        <w:t xml:space="preserve">share count / preferred dilution</w:t>
      </w:r>
      <w:r>
        <w:t xml:space="preserve"> </w:t>
      </w:r>
      <w:r>
        <w:t xml:space="preserve">rather than the GAAP headline.</w:t>
      </w:r>
    </w:p>
    <w:p>
      <w:r>
        <w:pict>
          <v:rect style="width:0;height:1.5pt" o:hralign="center" o:hrstd="t" o:hr="t"/>
        </w:pict>
      </w:r>
    </w:p>
    <w:bookmarkEnd w:id="13"/>
    <w:bookmarkStart w:id="14" w:name="Xe6949dea2546a62b30bb5256bd69b4659501a18"/>
    <w:p>
      <w:pPr>
        <w:pStyle w:val="Heading2"/>
      </w:pPr>
      <w:r>
        <w:t xml:space="preserve">4. Balance sheet &amp; cash flow — the deleveraging clock</w:t>
      </w:r>
    </w:p>
    <w:p>
      <w:pPr>
        <w:pStyle w:val="FirstParagraph"/>
      </w:pPr>
      <w:r>
        <w:t xml:space="preserve">The JDEP deal levered KDP up materially. Management expects</w:t>
      </w:r>
      <w:r>
        <w:t xml:space="preserve"> </w:t>
      </w:r>
      <w:r>
        <w:rPr>
          <w:b/>
          <w:bCs/>
        </w:rPr>
        <w:t xml:space="preserve">net leverage of ~4.5x at midyear</w:t>
      </w:r>
      <w:r>
        <w:t xml:space="preserve"> </w:t>
      </w:r>
      <w:r>
        <w:t xml:space="preserve">(this quarter is the test), versus a comfortable 3.3x a year ago. The plan:</w:t>
      </w:r>
    </w:p>
    <w:p>
      <w:pPr>
        <w:pStyle w:val="Compact"/>
        <w:numPr>
          <w:ilvl w:val="0"/>
          <w:numId w:val="1005"/>
        </w:numPr>
      </w:pPr>
      <w:r>
        <w:t xml:space="preserve">**~</w:t>
      </w:r>
      <m:oMath>
        <m:r>
          <m:t>2.5</m:t>
        </m:r>
        <m:r>
          <m:t>b</m:t>
        </m:r>
        <m:r>
          <m:t>n</m:t>
        </m:r>
        <m:r>
          <m:t>a</m:t>
        </m:r>
        <m:r>
          <m:t>g</m:t>
        </m:r>
        <m:r>
          <m:t>g</m:t>
        </m:r>
        <m:r>
          <m:t>r</m:t>
        </m:r>
        <m:r>
          <m:t>e</m:t>
        </m:r>
        <m:r>
          <m:t>g</m:t>
        </m:r>
        <m:r>
          <m:t>a</m:t>
        </m:r>
        <m:r>
          <m:t>t</m:t>
        </m:r>
        <m:r>
          <m:t>e</m:t>
        </m:r>
        <m:r>
          <m:t>f</m:t>
        </m:r>
        <m:r>
          <m:t>r</m:t>
        </m:r>
        <m:r>
          <m:t>e</m:t>
        </m:r>
        <m:r>
          <m:t>e</m:t>
        </m:r>
        <m:r>
          <m:t>c</m:t>
        </m:r>
        <m:r>
          <m:t>a</m:t>
        </m:r>
        <m:r>
          <m:t>s</m:t>
        </m:r>
        <m:r>
          <m:t>h</m:t>
        </m:r>
        <m:r>
          <m:t>f</m:t>
        </m:r>
        <m:r>
          <m:t>l</m:t>
        </m:r>
        <m:r>
          <m:t>o</m:t>
        </m:r>
        <m:r>
          <m:t>w</m:t>
        </m:r>
        <m:r>
          <m:rPr>
            <m:sty m:val="p"/>
          </m:rPr>
          <m:t>*</m:t>
        </m:r>
        <m:r>
          <m:rPr>
            <m:sty m:val="p"/>
          </m:rPr>
          <m:t>*</m:t>
        </m:r>
        <m:r>
          <m:t>i</m:t>
        </m:r>
        <m:r>
          <m:t>n</m:t>
        </m:r>
        <m:r>
          <m:t>2026</m:t>
        </m:r>
        <m:r>
          <m:rPr>
            <m:sty m:val="p"/>
          </m:rPr>
          <m:t>(</m:t>
        </m:r>
        <m:r>
          <m:t>l</m:t>
        </m:r>
        <m:r>
          <m:t>e</m:t>
        </m:r>
        <m:r>
          <m:t>g</m:t>
        </m:r>
        <m:r>
          <m:t>a</m:t>
        </m:r>
        <m:r>
          <m:t>c</m:t>
        </m:r>
        <m:r>
          <m:t>y</m:t>
        </m:r>
        <m:r>
          <m:t>K</m:t>
        </m:r>
        <m:r>
          <m:t>D</m:t>
        </m:r>
        <m:r>
          <m:t>P</m:t>
        </m:r>
        <m:r>
          <m:t> </m:t>
        </m:r>
      </m:oMath>
      <w:r>
        <w:t xml:space="preserve">2.0bn + 9 months of JDEP, net of deal/financing costs).</w:t>
      </w:r>
    </w:p>
    <w:p>
      <w:pPr>
        <w:pStyle w:val="Compact"/>
        <w:numPr>
          <w:ilvl w:val="0"/>
          <w:numId w:val="1005"/>
        </w:numPr>
      </w:pPr>
      <w:r>
        <w:t xml:space="preserve">Deleverage</w:t>
      </w:r>
      <w:r>
        <w:t xml:space="preserve"> </w:t>
      </w:r>
      <w:r>
        <w:rPr>
          <w:b/>
          <w:bCs/>
        </w:rPr>
        <w:t xml:space="preserve">~0.5 turn per year</w:t>
      </w:r>
      <w:r>
        <w:t xml:space="preserve">, prioritizing debt paydown, targeting</w:t>
      </w:r>
      <w:r>
        <w:t xml:space="preserve"> </w:t>
      </w:r>
      <w:r>
        <w:rPr>
          <w:b/>
          <w:bCs/>
        </w:rPr>
        <w:t xml:space="preserve">3.5–4.0x for Beverage Co.</w:t>
      </w:r>
      <w:r>
        <w:t xml:space="preserve"> </w:t>
      </w:r>
      <w:r>
        <w:t xml:space="preserve">and</w:t>
      </w:r>
      <w:r>
        <w:t xml:space="preserve"> </w:t>
      </w:r>
      <w:r>
        <w:rPr>
          <w:b/>
          <w:bCs/>
        </w:rPr>
        <w:t xml:space="preserve">3.75–4.2x for Global Coffee Co.</w:t>
      </w:r>
      <w:r>
        <w:t xml:space="preserve"> </w:t>
      </w:r>
      <w:r>
        <w:t xml:space="preserve">at separation.</w:t>
      </w:r>
    </w:p>
    <w:p>
      <w:pPr>
        <w:pStyle w:val="Compact"/>
        <w:numPr>
          <w:ilvl w:val="0"/>
          <w:numId w:val="1005"/>
        </w:numPr>
      </w:pPr>
      <w:r>
        <w:t xml:space="preserve">Possible</w:t>
      </w:r>
      <w:r>
        <w:t xml:space="preserve"> </w:t>
      </w:r>
      <w:r>
        <w:rPr>
          <w:b/>
          <w:bCs/>
        </w:rPr>
        <w:t xml:space="preserve">non-core asset / minority-investment divestitures</w:t>
      </w:r>
      <w:r>
        <w:t xml:space="preserve"> </w:t>
      </w:r>
      <w:r>
        <w:t xml:space="preserve">to accelerate — worth listening for any specifics.</w:t>
      </w:r>
    </w:p>
    <w:p>
      <w:pPr>
        <w:pStyle w:val="FirstParagraph"/>
      </w:pPr>
      <w:r>
        <w:t xml:space="preserve">FCF was only $184m in Q1 (seasonally light + deal costs); watch for the expected H2 acceleration to start building.</w:t>
      </w:r>
    </w:p>
    <w:p>
      <w:r>
        <w:pict>
          <v:rect style="width:0;height:1.5pt" o:hralign="center" o:hrstd="t" o:hr="t"/>
        </w:pict>
      </w:r>
    </w:p>
    <w:bookmarkEnd w:id="14"/>
    <w:bookmarkStart w:id="15" w:name="Xe5d8d67fbf9d789e1198efb704542f30d5167a9"/>
    <w:p>
      <w:pPr>
        <w:pStyle w:val="Heading2"/>
      </w:pPr>
      <w:r>
        <w:t xml:space="preserve">5. The separation — catalyst and new wrinkle</w:t>
      </w:r>
    </w:p>
    <w:p>
      <w:pPr>
        <w:pStyle w:val="FirstParagraph"/>
      </w:pPr>
      <w:r>
        <w:t xml:space="preserve">The strategic prize is the split into</w:t>
      </w:r>
      <w:r>
        <w:t xml:space="preserve"> </w:t>
      </w:r>
      <w:r>
        <w:rPr>
          <w:b/>
          <w:bCs/>
        </w:rPr>
        <w:t xml:space="preserve">Beverage Co.</w:t>
      </w:r>
      <w:r>
        <w:t xml:space="preserve"> </w:t>
      </w:r>
      <w:r>
        <w:t xml:space="preserve">(a ~</w:t>
      </w:r>
      <m:oMath>
        <m:r>
          <m:t>300</m:t>
        </m:r>
        <m:r>
          <m:t>b</m:t>
        </m:r>
        <m:r>
          <m:t>n</m:t>
        </m:r>
        <m:r>
          <m:t>N</m:t>
        </m:r>
        <m:r>
          <m:t>o</m:t>
        </m:r>
        <m:r>
          <m:t>r</m:t>
        </m:r>
        <m:r>
          <m:t>t</m:t>
        </m:r>
        <m:r>
          <m:t>h</m:t>
        </m:r>
        <m:r>
          <m:t>A</m:t>
        </m:r>
        <m:r>
          <m:t>m</m:t>
        </m:r>
        <m:r>
          <m:t>e</m:t>
        </m:r>
        <m:r>
          <m:t>r</m:t>
        </m:r>
        <m:r>
          <m:t>i</m:t>
        </m:r>
        <m:r>
          <m:t>c</m:t>
        </m:r>
        <m:r>
          <m:t>a</m:t>
        </m:r>
        <m:r>
          <m:t>n</m:t>
        </m:r>
        <m:r>
          <m:t>r</m:t>
        </m:r>
        <m:r>
          <m:t>e</m:t>
        </m:r>
        <m:r>
          <m:t>f</m:t>
        </m:r>
        <m:r>
          <m:t>r</m:t>
        </m:r>
        <m:r>
          <m:t>e</m:t>
        </m:r>
        <m:r>
          <m:t>s</m:t>
        </m:r>
        <m:r>
          <m:t>h</m:t>
        </m:r>
        <m:r>
          <m:t>m</m:t>
        </m:r>
        <m:r>
          <m:t>e</m:t>
        </m:r>
        <m:r>
          <m:t>n</m:t>
        </m:r>
        <m:r>
          <m:t>t</m:t>
        </m:r>
        <m:r>
          <m:rPr>
            <m:sty m:val="p"/>
          </m:rPr>
          <m:t>−</m:t>
        </m:r>
        <m:r>
          <m:t>b</m:t>
        </m:r>
        <m:r>
          <m:t>e</m:t>
        </m:r>
        <m:r>
          <m:t>v</m:t>
        </m:r>
        <m:r>
          <m:t>e</m:t>
        </m:r>
        <m:r>
          <m:t>r</m:t>
        </m:r>
        <m:r>
          <m:t>a</m:t>
        </m:r>
        <m:r>
          <m:t>g</m:t>
        </m:r>
        <m:r>
          <m:t>e</m:t>
        </m:r>
        <m:r>
          <m:t>c</m:t>
        </m:r>
        <m:r>
          <m:t>h</m:t>
        </m:r>
        <m:r>
          <m:t>a</m:t>
        </m:r>
        <m:r>
          <m:t>l</m:t>
        </m:r>
        <m:r>
          <m:t>l</m:t>
        </m:r>
        <m:r>
          <m:t>e</m:t>
        </m:r>
        <m:r>
          <m:t>n</m:t>
        </m:r>
        <m:r>
          <m:t>g</m:t>
        </m:r>
        <m:r>
          <m:t>e</m:t>
        </m:r>
        <m:r>
          <m:t>r</m:t>
        </m:r>
        <m:r>
          <m:rPr>
            <m:sty m:val="p"/>
          </m:rPr>
          <m:t>,</m:t>
        </m:r>
        <m:r>
          <m:t>C</m:t>
        </m:r>
        <m:r>
          <m:t>o</m:t>
        </m:r>
        <m:r>
          <m:t>f</m:t>
        </m:r>
        <m:r>
          <m:t>e</m:t>
        </m:r>
        <m:r>
          <m:t>r</m:t>
        </m:r>
        <m:r>
          <m:t>a</m:t>
        </m:r>
        <m:r>
          <m:t>s</m:t>
        </m:r>
        <m:r>
          <m:t>C</m:t>
        </m:r>
        <m:r>
          <m:t>E</m:t>
        </m:r>
        <m:r>
          <m:t>O</m:t>
        </m:r>
        <m:r>
          <m:rPr>
            <m:sty m:val="p"/>
          </m:rPr>
          <m:t>)</m:t>
        </m:r>
        <m:r>
          <m:t>a</m:t>
        </m:r>
        <m:r>
          <m:t>n</m:t>
        </m:r>
        <m:r>
          <m:t>d</m:t>
        </m:r>
        <m:r>
          <m:rPr>
            <m:sty m:val="p"/>
          </m:rPr>
          <m:t>*</m:t>
        </m:r>
        <m:r>
          <m:rPr>
            <m:sty m:val="p"/>
          </m:rPr>
          <m:t>*</m:t>
        </m:r>
        <m:r>
          <m:t>G</m:t>
        </m:r>
        <m:r>
          <m:t>l</m:t>
        </m:r>
        <m:r>
          <m:t>o</m:t>
        </m:r>
        <m:r>
          <m:t>b</m:t>
        </m:r>
        <m:r>
          <m:t>a</m:t>
        </m:r>
        <m:r>
          <m:t>l</m:t>
        </m:r>
        <m:r>
          <m:t>C</m:t>
        </m:r>
        <m:r>
          <m:t>o</m:t>
        </m:r>
        <m:r>
          <m:t>f</m:t>
        </m:r>
        <m:r>
          <m:t>f</m:t>
        </m:r>
        <m:r>
          <m:t>e</m:t>
        </m:r>
        <m:r>
          <m:t>e</m:t>
        </m:r>
        <m:r>
          <m:t>C</m:t>
        </m:r>
        <m:r>
          <m:t>o</m:t>
        </m:r>
        <m:r>
          <m:rPr>
            <m:sty m:val="p"/>
          </m:rPr>
          <m:t>.</m:t>
        </m:r>
        <m:r>
          <m:rPr>
            <m:sty m:val="p"/>
          </m:rPr>
          <m:t>*</m:t>
        </m:r>
        <m:r>
          <m:rPr>
            <m:sty m:val="p"/>
          </m:rPr>
          <m:t>*</m:t>
        </m:r>
        <m:r>
          <m:rPr>
            <m:sty m:val="p"/>
          </m:rPr>
          <m:t>(</m:t>
        </m:r>
        <m:r>
          <m:t>a</m:t>
        </m:r>
        <m:r>
          <m:t>s</m:t>
        </m:r>
        <m:r>
          <m:t>c</m:t>
        </m:r>
        <m:r>
          <m:t>a</m:t>
        </m:r>
        <m:r>
          <m:t>l</m:t>
        </m:r>
        <m:r>
          <m:t>e</m:t>
        </m:r>
        <m:r>
          <m:t>d</m:t>
        </m:r>
        <m:r>
          <m:t> </m:t>
        </m:r>
      </m:oMath>
      <w:r>
        <w:t xml:space="preserve">400bn global-coffee pure-play). Timeline:</w:t>
      </w:r>
      <w:r>
        <w:t xml:space="preserve"> </w:t>
      </w:r>
      <w:r>
        <w:rPr>
          <w:b/>
          <w:bCs/>
        </w:rPr>
        <w:t xml:space="preserve">operational readiness by end-2026, official separation in early 2027</w:t>
      </w:r>
      <w:r>
        <w:t xml:space="preserve">, subject to market conditions.</w:t>
      </w:r>
    </w:p>
    <w:p>
      <w:pPr>
        <w:pStyle w:val="BodyText"/>
      </w:pPr>
      <w:r>
        <w:rPr>
          <w:b/>
          <w:bCs/>
        </w:rPr>
        <w:t xml:space="preserve">The new wrinkle:</w:t>
      </w:r>
      <w:r>
        <w:t xml:space="preserve"> </w:t>
      </w:r>
      <w:r>
        <w:t xml:space="preserve">In late June, KDP announced that</w:t>
      </w:r>
      <w:r>
        <w:t xml:space="preserve"> </w:t>
      </w:r>
      <w:r>
        <w:rPr>
          <w:b/>
          <w:bCs/>
        </w:rPr>
        <w:t xml:space="preserve">Rafa Oliveira — the JDE Peet's CEO who had been named to lead Global Coffee Co. — will depart at the end of July</w:t>
      </w:r>
      <w:r>
        <w:t xml:space="preserve"> </w:t>
      </w:r>
      <w:r>
        <w:t xml:space="preserve">for an external CEO role. The board has opened a search for a new Global Coffee Co. CEO, with Cofer overseeing coffee in the interim. This is a genuine question mark going into the call: expect analysts to probe</w:t>
      </w:r>
      <w:r>
        <w:t xml:space="preserve"> </w:t>
      </w:r>
      <w:r>
        <w:rPr>
          <w:b/>
          <w:bCs/>
        </w:rPr>
        <w:t xml:space="preserve">who runs the coffee company, whether it changes the timeline, and integration continuity</w:t>
      </w:r>
      <w:r>
        <w:t xml:space="preserve">. Management reaffirmed 2026 guidance alongside the announcement, so the framing will be "no impact to plan" — but it's a credibility item worth watching.</w:t>
      </w:r>
    </w:p>
    <w:p>
      <w:r>
        <w:pict>
          <v:rect style="width:0;height:1.5pt" o:hralign="center" o:hrstd="t" o:hr="t"/>
        </w:pict>
      </w:r>
    </w:p>
    <w:bookmarkEnd w:id="15"/>
    <w:bookmarkStart w:id="16" w:name="Xa22d0190b4489120402ba84bd8d7822cedf35ec"/>
    <w:p>
      <w:pPr>
        <w:pStyle w:val="Heading2"/>
      </w:pPr>
      <w:r>
        <w:t xml:space="preserve">6. Stock setup &amp; sentiment</w:t>
      </w:r>
    </w:p>
    <w:p>
      <w:pPr>
        <w:pStyle w:val="Compact"/>
        <w:numPr>
          <w:ilvl w:val="0"/>
          <w:numId w:val="1006"/>
        </w:numPr>
      </w:pPr>
      <w:r>
        <w:t xml:space="preserve">KDP is</w:t>
      </w:r>
      <w:r>
        <w:t xml:space="preserve"> </w:t>
      </w:r>
      <w:r>
        <w:rPr>
          <w:b/>
          <w:bCs/>
        </w:rPr>
        <w:t xml:space="preserve">~</w:t>
      </w:r>
      <m:oMath>
        <m:r>
          <m:t>30.8</m:t>
        </m:r>
        <m:r>
          <m:rPr>
            <m:sty m:val="p"/>
          </m:rPr>
          <m:t>*</m:t>
        </m:r>
        <m:r>
          <m:rPr>
            <m:sty m:val="p"/>
          </m:rPr>
          <m:t>*</m:t>
        </m:r>
        <m:r>
          <m:rPr>
            <m:sty m:val="p"/>
          </m:rPr>
          <m:t>(</m:t>
        </m:r>
        <m:r>
          <m:t>A</m:t>
        </m:r>
        <m:r>
          <m:t>u</m:t>
        </m:r>
        <m:r>
          <m:t>g</m:t>
        </m:r>
        <m:r>
          <m:t>5</m:t>
        </m:r>
        <m:r>
          <m:t>c</m:t>
        </m:r>
        <m:r>
          <m:t>l</m:t>
        </m:r>
        <m:r>
          <m:t>o</m:t>
        </m:r>
        <m:r>
          <m:t>s</m:t>
        </m:r>
        <m:r>
          <m:t>e</m:t>
        </m:r>
        <m:r>
          <m:rPr>
            <m:sty m:val="p"/>
          </m:rPr>
          <m:t>)</m:t>
        </m:r>
        <m:r>
          <m:rPr>
            <m:sty m:val="p"/>
          </m:rPr>
          <m:t>,</m:t>
        </m:r>
        <m:r>
          <m:rPr>
            <m:sty m:val="p"/>
          </m:rPr>
          <m:t>*</m:t>
        </m:r>
        <m:r>
          <m:rPr>
            <m:sty m:val="p"/>
          </m:rPr>
          <m:t>*</m:t>
        </m:r>
        <m:r>
          <m:t>u</m:t>
        </m:r>
        <m:r>
          <m:t>p</m:t>
        </m:r>
        <m:r>
          <m:t> </m:t>
        </m:r>
        <m:r>
          <m:t>11</m:t>
        </m:r>
      </m:oMath>
      <w:r>
        <w:rPr>
          <w:b/>
          <w:bCs/>
        </w:rPr>
        <w:t xml:space="preserve">25.7</w:t>
      </w:r>
      <w:r>
        <w:t xml:space="preserve">, but</w:t>
      </w:r>
      <w:r>
        <w:t xml:space="preserve"> </w:t>
      </w:r>
      <w:r>
        <w:rPr>
          <w:b/>
          <w:bCs/>
        </w:rPr>
        <w:t xml:space="preserve">~8% below its late-June peak of ~$33.5</w:t>
      </w:r>
      <w:r>
        <w:t xml:space="preserve">.</w:t>
      </w:r>
    </w:p>
    <w:p>
      <w:pPr>
        <w:pStyle w:val="Compact"/>
        <w:numPr>
          <w:ilvl w:val="0"/>
          <w:numId w:val="1006"/>
        </w:numPr>
      </w:pPr>
      <w:r>
        <w:t xml:space="preserve">Sentiment is constructive: a recent news digest framed KDP as</w:t>
      </w:r>
      <w:r>
        <w:t xml:space="preserve"> </w:t>
      </w:r>
      <w:r>
        <w:rPr>
          <w:b/>
          <w:bCs/>
        </w:rPr>
        <w:t xml:space="preserve">favored relative to staples peers</w:t>
      </w:r>
      <w:r>
        <w:t xml:space="preserve">, citing core U.S. beverage strength, coffee stabilization, JDEP synergy capture, and the "approaching coffee spin" as the value-unlock narrative.</w:t>
      </w:r>
    </w:p>
    <w:p>
      <w:pPr>
        <w:pStyle w:val="Compact"/>
        <w:numPr>
          <w:ilvl w:val="0"/>
          <w:numId w:val="1006"/>
        </w:numPr>
      </w:pPr>
      <w:r>
        <w:t xml:space="preserve">The pullback from the June highs plus a well-telegraphed EPS re-acceleration means the bar is set at "prove the H2 story is real."</w:t>
      </w:r>
    </w:p>
    <w:p>
      <w:r>
        <w:pict>
          <v:rect style="width:0;height:1.5pt" o:hralign="center" o:hrstd="t" o:hr="t"/>
        </w:pict>
      </w:r>
    </w:p>
    <w:bookmarkEnd w:id="16"/>
    <w:bookmarkStart w:id="17" w:name="what-would-move-the-stock"/>
    <w:p>
      <w:pPr>
        <w:pStyle w:val="Heading2"/>
      </w:pPr>
      <w:r>
        <w:t xml:space="preserve">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w:t>
            </w:r>
          </w:p>
        </w:tc>
        <w:tc>
          <w:tcPr/>
          <w:p>
            <w:pPr>
              <w:pStyle w:val="Compact"/>
            </w:pPr>
            <w:r>
              <w:t xml:space="preserve">Bearish</w:t>
            </w:r>
          </w:p>
        </w:tc>
      </w:tr>
      <w:tr>
        <w:tc>
          <w:tcPr/>
          <w:p>
            <w:pPr>
              <w:pStyle w:val="Compact"/>
            </w:pPr>
            <w:r>
              <w:t xml:space="preserve">High-single-digit+ EPS growth delivered; FY guide reaffirmed or raised</w:t>
            </w:r>
          </w:p>
        </w:tc>
        <w:tc>
          <w:tcPr/>
          <w:p>
            <w:pPr>
              <w:pStyle w:val="Compact"/>
            </w:pPr>
            <w:r>
              <w:t xml:space="preserve">EPS inflection disappoints; H2 guide looks back-end loaded and at risk</w:t>
            </w:r>
          </w:p>
        </w:tc>
      </w:tr>
      <w:tr>
        <w:tc>
          <w:tcPr/>
          <w:p>
            <w:pPr>
              <w:pStyle w:val="Compact"/>
            </w:pPr>
            <w:r>
              <w:t xml:space="preserve">Coffee OI decline narrows sequentially; green coffee framed as 2027 tailwind</w:t>
            </w:r>
          </w:p>
        </w:tc>
        <w:tc>
          <w:tcPr/>
          <w:p>
            <w:pPr>
              <w:pStyle w:val="Compact"/>
            </w:pPr>
            <w:r>
              <w:t xml:space="preserve">Coffee margins still deteriorating with no visible turn; the "~1,000 bps H2 recovery" looks unreachable</w:t>
            </w:r>
          </w:p>
        </w:tc>
      </w:tr>
      <w:tr>
        <w:tc>
          <w:tcPr/>
          <w:p>
            <w:pPr>
              <w:pStyle w:val="Compact"/>
            </w:pPr>
            <w:r>
              <w:t xml:space="preserve">Concrete JDEP synergy progress; leverage tracking to ~4.5x</w:t>
            </w:r>
          </w:p>
        </w:tc>
        <w:tc>
          <w:tcPr/>
          <w:p>
            <w:pPr>
              <w:pStyle w:val="Compact"/>
            </w:pPr>
            <w:r>
              <w:t xml:space="preserve">Integration friction; a new coffee CEO hire that signals delay to the 2027 split</w:t>
            </w:r>
          </w:p>
        </w:tc>
      </w:tr>
      <w:tr>
        <w:tc>
          <w:tcPr/>
          <w:p>
            <w:pPr>
              <w:pStyle w:val="Compact"/>
            </w:pPr>
            <w:r>
              <w:t xml:space="preserve">USRB moderation looks orderly (Creamy Coconut offsets GHOST lap)</w:t>
            </w:r>
          </w:p>
        </w:tc>
        <w:tc>
          <w:tcPr/>
          <w:p>
            <w:pPr>
              <w:pStyle w:val="Compact"/>
            </w:pPr>
            <w:r>
              <w:t xml:space="preserve">USRB decelerates faster than expected; SNAP/low-income softness spreads</w:t>
            </w:r>
          </w:p>
        </w:tc>
      </w:tr>
      <w:tr>
        <w:tc>
          <w:tcPr/>
          <w:p>
            <w:pPr>
              <w:pStyle w:val="Compact"/>
            </w:pPr>
            <w:r>
              <w:t xml:space="preserve">Clear reaffirmation of early-2027 separation timeline</w:t>
            </w:r>
          </w:p>
        </w:tc>
        <w:tc>
          <w:tcPr/>
          <w:p>
            <w:pPr>
              <w:pStyle w:val="Compact"/>
            </w:pPr>
            <w:r>
              <w:t xml:space="preserve">Ambiguity on separation timing after the Oliveira departure</w:t>
            </w:r>
          </w:p>
        </w:tc>
      </w:tr>
    </w:tbl>
    <w:p>
      <w:r>
        <w:pict>
          <v:rect style="width:0;height:1.5pt" o:hralign="center" o:hrstd="t" o:hr="t"/>
        </w:pict>
      </w:r>
    </w:p>
    <w:bookmarkEnd w:id="17"/>
    <w:bookmarkStart w:id="18" w:name="bottom-line"/>
    <w:p>
      <w:pPr>
        <w:pStyle w:val="Heading2"/>
      </w:pPr>
      <w:r>
        <w:t xml:space="preserve">Bottom line</w:t>
      </w:r>
    </w:p>
    <w:p>
      <w:pPr>
        <w:pStyle w:val="FirstParagraph"/>
      </w:pPr>
      <w:r>
        <w:t xml:space="preserve">Q2 2026 is a</w:t>
      </w:r>
      <w:r>
        <w:t xml:space="preserve"> </w:t>
      </w:r>
      <w:r>
        <w:rPr>
          <w:b/>
          <w:bCs/>
        </w:rPr>
        <w:t xml:space="preserve">"show me" quarter</w:t>
      </w:r>
      <w:r>
        <w:t xml:space="preserve"> </w:t>
      </w:r>
      <w:r>
        <w:t xml:space="preserve">dressed up as a routine print. The headline EPS (~$0.53 est.) and the messy new below-the-line items are almost secondary. What investors actually need is confirmation that (1) the promised EPS re-acceleration has begun, (2) U.S. Coffee (and JDEP) profit is bottoming with a credible path to the big H2 recovery baked into guidance, (3) U.S. Refreshment Beverages is decelerating gracefully rather than cracking, and (4) the early-2027 separation remains on track despite losing its designated coffee-company CEO. Get those four, and the deleveraging/spin thesis stays intact. Miss on coffee margins or wobble on the split, and the stock's ~20% post-deal rally looks vulnerable.</w:t>
      </w:r>
    </w:p>
    <w:p>
      <w:pPr>
        <w:pStyle w:val="BodyText"/>
      </w:pPr>
      <w:r>
        <w:rPr>
          <w:i/>
          <w:iCs/>
        </w:rPr>
        <w:t xml:space="preserve">Preview based on KDP's Q1 2026 and Q2 2025 earnings calls, JDE Peet's FY2025 financials, KDP's June 2026 leadership announcement, recent news coverage, and market data through Aug 5, 2026. All forward figures are management guidance/Street consensus, not results.</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2026-08-06T00:12:24Z</dcterms:created>
  <dcterms:modified xsi:type="dcterms:W3CDTF">2026-08-06T00:12:24Z</dcterms:modified>
</cp:coreProperties>
</file>

<file path=docProps/custom.xml><?xml version="1.0" encoding="utf-8"?>
<Properties xmlns="http://schemas.openxmlformats.org/officeDocument/2006/custom-properties" xmlns:vt="http://schemas.openxmlformats.org/officeDocument/2006/docPropsVTypes"/>
</file>