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6" w:name="X4a9ccfe8d718bafff72c4e70eb756e428511dc7"/>
    <w:p>
      <w:pPr>
        <w:pStyle w:val="Heading1"/>
      </w:pPr>
      <w:r>
        <w:t xml:space="preserve">Keurig Dr Pepper (KDP) — Q2 2026 Earnings Preview</w:t>
      </w:r>
    </w:p>
    <w:p>
      <w:pPr>
        <w:pStyle w:val="FirstParagraph"/>
      </w:pPr>
      <w:r>
        <w:rPr>
          <w:b/>
          <w:bCs/>
        </w:rPr>
        <w:t xml:space="preserve">Report Date:</w:t>
      </w:r>
      <w:r>
        <w:t xml:space="preserve"> </w:t>
      </w:r>
      <w:r>
        <w:t xml:space="preserve">August 6, 2026 (before market open) |</w:t>
      </w:r>
      <w:r>
        <w:t xml:space="preserve"> </w:t>
      </w:r>
      <w:r>
        <w:rPr>
          <w:b/>
          <w:bCs/>
        </w:rPr>
        <w:t xml:space="preserve">Call Time:</w:t>
      </w:r>
      <w:r>
        <w:t xml:space="preserve"> </w:t>
      </w:r>
      <w:r>
        <w:t xml:space="preserve">8:00 AM ET</w:t>
      </w:r>
    </w:p>
    <w:p>
      <w:r>
        <w:pict>
          <v:rect style="width:0;height:1.5pt" o:hralign="center" o:hrstd="t" o:hr="t"/>
        </w:pict>
      </w:r>
    </w:p>
    <w:bookmarkStart w:id="9" w:name="snapshot"/>
    <w:p>
      <w:pPr>
        <w:pStyle w:val="Heading2"/>
      </w:pPr>
      <w:r>
        <w:t xml:space="preserve">Snapshot</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p>
        </w:tc>
        <w:tc>
          <w:tcPr/>
          <w:p>
            <w:pPr>
              <w:pStyle w:val="Compact"/>
            </w:pPr>
          </w:p>
        </w:tc>
      </w:tr>
      <w:tr>
        <w:tc>
          <w:tcPr/>
          <w:p>
            <w:pPr>
              <w:pStyle w:val="Compact"/>
            </w:pPr>
            <w:r>
              <w:rPr>
                <w:b/>
                <w:bCs/>
              </w:rPr>
              <w:t xml:space="preserve">Stock price (as of 8/5/26)</w:t>
            </w:r>
          </w:p>
        </w:tc>
        <w:tc>
          <w:tcPr/>
          <w:p>
            <w:pPr>
              <w:pStyle w:val="Compact"/>
            </w:pPr>
            <w:r>
              <w:t xml:space="preserve">~$30.77 (down from a 52-week high near $36)</w:t>
            </w:r>
          </w:p>
        </w:tc>
      </w:tr>
      <w:tr>
        <w:tc>
          <w:tcPr/>
          <w:p>
            <w:pPr>
              <w:pStyle w:val="Compact"/>
            </w:pPr>
            <w:r>
              <w:rPr>
                <w:b/>
                <w:bCs/>
              </w:rPr>
              <w:t xml:space="preserve">Avg. analyst price target</w:t>
            </w:r>
          </w:p>
        </w:tc>
        <w:tc>
          <w:tcPr/>
          <w:p>
            <w:pPr>
              <w:pStyle w:val="Compact"/>
            </w:pPr>
            <w:r>
              <w:t xml:space="preserve">~$35 (implies ~13-15% upside)</w:t>
            </w:r>
          </w:p>
        </w:tc>
      </w:tr>
      <w:tr>
        <w:tc>
          <w:tcPr/>
          <w:p>
            <w:pPr>
              <w:pStyle w:val="Compact"/>
            </w:pPr>
            <w:r>
              <w:rPr>
                <w:b/>
                <w:bCs/>
              </w:rPr>
              <w:t xml:space="preserve">Consensus Q2 EPS</w:t>
            </w:r>
          </w:p>
        </w:tc>
        <w:tc>
          <w:tcPr/>
          <w:p>
            <w:pPr>
              <w:pStyle w:val="Compact"/>
            </w:pPr>
            <w:r>
              <w:t xml:space="preserve">~$0.55 (adjusted), vs. $0.49 a year ago (+12%)</w:t>
            </w:r>
          </w:p>
        </w:tc>
      </w:tr>
      <w:tr>
        <w:tc>
          <w:tcPr/>
          <w:p>
            <w:pPr>
              <w:pStyle w:val="Compact"/>
            </w:pPr>
            <w:r>
              <w:rPr>
                <w:b/>
                <w:bCs/>
              </w:rPr>
              <w:t xml:space="preserve">Consensus Q2 revenue</w:t>
            </w:r>
          </w:p>
        </w:tc>
        <w:tc>
          <w:tcPr/>
          <w:p>
            <w:pPr>
              <w:pStyle w:val="Compact"/>
            </w:pPr>
            <w:r>
              <w:t xml:space="preserve">~$7.0–7.3 billion (vs. $4.28B a year ago — the jump is almost entirely JDE Peet's consolidation)</w:t>
            </w:r>
          </w:p>
        </w:tc>
      </w:tr>
      <w:tr>
        <w:tc>
          <w:tcPr/>
          <w:p>
            <w:pPr>
              <w:pStyle w:val="Compact"/>
            </w:pPr>
            <w:r>
              <w:rPr>
                <w:b/>
                <w:bCs/>
              </w:rPr>
              <w:t xml:space="preserve">Q1 2026 result</w:t>
            </w:r>
          </w:p>
        </w:tc>
        <w:tc>
          <w:tcPr/>
          <w:p>
            <w:pPr>
              <w:pStyle w:val="Compact"/>
            </w:pPr>
            <w:r>
              <w:t xml:space="preserve">Adjusted EPS $0.39 (beat $0.37 consensus); Net sales +8.1% cc</w:t>
            </w:r>
          </w:p>
        </w:tc>
      </w:tr>
      <w:tr>
        <w:tc>
          <w:tcPr/>
          <w:p>
            <w:pPr>
              <w:pStyle w:val="Compact"/>
            </w:pPr>
            <w:r>
              <w:rPr>
                <w:b/>
                <w:bCs/>
              </w:rPr>
              <w:t xml:space="preserve">2026 guidance (reaffirmed twice)</w:t>
            </w:r>
          </w:p>
        </w:tc>
        <w:tc>
          <w:tcPr/>
          <w:p>
            <w:pPr>
              <w:pStyle w:val="Compact"/>
            </w:pPr>
            <w:r>
              <w:t xml:space="preserve">Net sales $25.9–26.4B; low-double-digit constant-currency adjusted EPS growth</w:t>
            </w:r>
          </w:p>
        </w:tc>
      </w:tr>
    </w:tbl>
    <w:p>
      <w:pPr>
        <w:pStyle w:val="BodyText"/>
      </w:pPr>
      <w:r>
        <w:t xml:space="preserve">This is the first full quarter in which JDE Peet's is consolidated (deal closed April 1, 2026), so</w:t>
      </w:r>
      <w:r>
        <w:t xml:space="preserve"> </w:t>
      </w:r>
      <w:r>
        <w:rPr>
          <w:b/>
          <w:bCs/>
        </w:rPr>
        <w:t xml:space="preserve">headline revenue and EPS growth rates will look dramatically different than pre-deal comparisons</w:t>
      </w:r>
      <w:r>
        <w:t xml:space="preserve"> </w:t>
      </w:r>
      <w:r>
        <w:t xml:space="preserve">— investors should focus on segment-level trends, margin phasing, and separation progress rather than the topline growth optics.</w:t>
      </w:r>
    </w:p>
    <w:p>
      <w:r>
        <w:pict>
          <v:rect style="width:0;height:1.5pt" o:hralign="center" o:hrstd="t" o:hr="t"/>
        </w:pict>
      </w:r>
    </w:p>
    <w:bookmarkEnd w:id="9"/>
    <w:bookmarkStart w:id="10" w:name="Xa3cf65793532823d8666d96f2308784e153a2a2"/>
    <w:p>
      <w:pPr>
        <w:pStyle w:val="Heading2"/>
      </w:pPr>
      <w:r>
        <w:t xml:space="preserve">1. The Big Picture: A Company Mid-Transformation</w:t>
      </w:r>
    </w:p>
    <w:p>
      <w:pPr>
        <w:pStyle w:val="FirstParagraph"/>
      </w:pPr>
      <w:r>
        <w:t xml:space="preserve">KDP is simultaneously digesting the largest deal in its history and preparing to break itself apart. Keurig Dr Pepper reported first-quarter 2026 earnings on April 23, surpassing analysts' expectations with an EPS of $0.39, compared to the forecasted $0.37, with revenue reaching $3.98 billion against a forecast of $3.83 billion. Management has been explicit that 2026 is a "bridge year" defined by three priorities: delivering low-double-digit EPS growth, integrating JDE Peet's, and hitting separation milestones. The company anticipates healthy EPS growth beginning in Q2, with further acceleration expected in the latter half of the year, and remains committed to achieving approximately $2.5 billion in free cash flow for 2026, incorporating contributions from the JDE Peet's acquisition.</w:t>
      </w:r>
    </w:p>
    <w:p>
      <w:pPr>
        <w:pStyle w:val="BodyText"/>
      </w:pPr>
      <w:r>
        <w:t xml:space="preserve">On the Q1 call, CFO Anthony DiSilvestro was specific about phasing: "From a phasing perspective, we expect high single-digit EPS growth in Q2, with further acceleration in the back half as costs improve and synergy is built." That guidepost is the single most important number to reconcile against tomorrow's print — Street consensus (~$0.55, +12%) is running slightly ahead of that "high single digit" framing, so a beat-and-raise setup exists but isn't guaranteed.</w:t>
      </w:r>
    </w:p>
    <w:bookmarkEnd w:id="10"/>
    <w:bookmarkStart w:id="11" w:name="Xba429e6fa66159404453b392da60f101de192e8"/>
    <w:p>
      <w:pPr>
        <w:pStyle w:val="Heading2"/>
      </w:pPr>
      <w:r>
        <w:t xml:space="preserve">2. What Drove Q1 — and Should Persist Into Q2</w:t>
      </w:r>
    </w:p>
    <w:p>
      <w:pPr>
        <w:pStyle w:val="FirstParagraph"/>
      </w:pPr>
      <w:r>
        <w:rPr>
          <w:b/>
          <w:bCs/>
        </w:rPr>
        <w:t xml:space="preserve">U.S. Refreshment Beverages (the crown jewel):</w:t>
      </w:r>
      <w:r>
        <w:t xml:space="preserve"> </w:t>
      </w:r>
      <w:r>
        <w:t xml:space="preserve">This segment delivered outsized growth in Q1 — net sales +11.9%, operating income +9.8% — powered by CSD strength, energy drinks (GHOST, Bloom, C4, Black Rifle), and the Electrolit hydration partnership. Management flagged that Q1 benefited from a one-time GHOST distribution comparison and cautioned growth would "moderate relative to Q1 elevated levels," but should remain an outsized contributor to the full-year mid-single-digit legacy net sales guide. Watch for: continued share gains from Dr Pepper's three core lines, early read on the Dr Pepper Creamy Coconut relaunch, and energy-category shelf-reset commentary.</w:t>
      </w:r>
    </w:p>
    <w:p>
      <w:pPr>
        <w:pStyle w:val="BodyText"/>
      </w:pPr>
      <w:r>
        <w:rPr>
          <w:b/>
          <w:bCs/>
        </w:rPr>
        <w:t xml:space="preserve">U.S. Coffee (the swing factor):</w:t>
      </w:r>
      <w:r>
        <w:t xml:space="preserve"> </w:t>
      </w:r>
      <w:r>
        <w:t xml:space="preserve">This was the weak link in Q1 — net sales -2.3%, operating income -21.3% — driven by peak green coffee cost inflation, tariffs, and a 7% pod shipment decline tied to trade inventory drawdowns. Management guided that "Q1 will represent the most significant decline for the year," with easing pressure in Q2 and more meaningful improvement in H2 as coffee costs (which lag spot prices by 6–9 months) roll through favorably.</w:t>
      </w:r>
      <w:r>
        <w:t xml:space="preserve"> </w:t>
      </w:r>
      <w:r>
        <w:rPr>
          <w:b/>
          <w:bCs/>
        </w:rPr>
        <w:t xml:space="preserve">This is the key segment to watch tomorrow</w:t>
      </w:r>
      <w:r>
        <w:t xml:space="preserve"> </w:t>
      </w:r>
      <w:r>
        <w:t xml:space="preserve">— any signs that the anticipated Q2 easing is on track (or slipping) will be a major swing factor for the stock, especially with consensus modeling significant margin recovery in the back half.</w:t>
      </w:r>
    </w:p>
    <w:p>
      <w:pPr>
        <w:pStyle w:val="BodyText"/>
      </w:pPr>
      <w:r>
        <w:rPr>
          <w:b/>
          <w:bCs/>
        </w:rPr>
        <w:t xml:space="preserve">International:</w:t>
      </w:r>
      <w:r>
        <w:t xml:space="preserve"> </w:t>
      </w:r>
      <w:r>
        <w:t xml:space="preserve">Q1 net sales +8.5% (constant currency) but operating income -15.1%, hurt by the Mexico beverage tax and stepped-up marketing. Management expects profitability to improve as the year progresses.</w:t>
      </w:r>
    </w:p>
    <w:p>
      <w:pPr>
        <w:pStyle w:val="BodyText"/>
      </w:pPr>
      <w:r>
        <w:rPr>
          <w:b/>
          <w:bCs/>
        </w:rPr>
        <w:t xml:space="preserve">JDE Peet's (new segment):</w:t>
      </w:r>
      <w:r>
        <w:t xml:space="preserve"> </w:t>
      </w:r>
      <w:r>
        <w:t xml:space="preserve">Reported separately through separation. Q1 commentary was reassuring — trends "consistent with expectations," profit "more constrained" in H1 due to coffee cost timing, with confidence in $400 million of synergies plus incremental North American revenue opportunities between Peet's and Keurig. Since this is only the second quarter of consolidation, investors will be looking for early proof points on synergy capture and integration costs.</w:t>
      </w:r>
    </w:p>
    <w:bookmarkEnd w:id="11"/>
    <w:bookmarkStart w:id="12" w:name="Xe75ba2c7fe00b0b5836c2ffdb38fe4c01b057c8"/>
    <w:p>
      <w:pPr>
        <w:pStyle w:val="Heading2"/>
      </w:pPr>
      <w:r>
        <w:t xml:space="preserve">3. Leadership Disruption at Coffee — A Fresh Wrinkle</w:t>
      </w:r>
    </w:p>
    <w:p>
      <w:pPr>
        <w:pStyle w:val="FirstParagraph"/>
      </w:pPr>
      <w:r>
        <w:t xml:space="preserve">Since the last earnings call, KDP disclosed a leadership complication that adds execution risk to the coffee separation story: Rafa Oliveira, who had been tapped to lead the Coffee Operating Unit and become future CEO of Global Coffee Co., is departing for an external CEO role, with Chairman Pamela Patsley leading a search for his replacement. CEO Tim Cofer will personally oversee the coffee business in the interim while continuing to prepare for his own post-separation role as Beverage Co. CEO. The company reaffirmed 2026 guidance alongside this announcement, but expect analysts to press for color on interim leadership stability, the search timeline, and whether this affects the "operational readiness by year-end 2026 / separation in early 2027" timetable.</w:t>
      </w:r>
    </w:p>
    <w:bookmarkEnd w:id="12"/>
    <w:bookmarkStart w:id="13" w:name="X315aae43ce19f47bfc1000f9df7c4145af2cce1"/>
    <w:p>
      <w:pPr>
        <w:pStyle w:val="Heading2"/>
      </w:pPr>
      <w:r>
        <w:t xml:space="preserve">4. Balance Sheet, Financing &amp; Capital Structure Complexity</w:t>
      </w:r>
    </w:p>
    <w:p>
      <w:pPr>
        <w:pStyle w:val="FirstParagraph"/>
      </w:pPr>
      <w:r>
        <w:t xml:space="preserve">The JDE Peet's deal was funded through an unusually intricate structure: a $4.5 billion Beverage Co. convertible preferred equity investment, a $4 billion coffee pod manufacturing JV minority investment, roughly</w:t>
      </w:r>
      <w:r>
        <w:t xml:space="preserve"> </w:t>
      </w:r>
      <w:r>
        <w:t xml:space="preserve">$6 billion of new long-term senior debt, and additional term loan borrowings. Management targets ~4.5x net leverage at midyear, with a path to investment-grade ratings for both future standalone companies, primarily through free cash flow (targeting ~0.5x turn of deleveraging per year) plus potential noncore asset sales. Starting in Q2, the P&amp;L carries two new below-the-line items to track: ~$</w:t>
      </w:r>
      <w:r>
        <w:t xml:space="preserve">190 million of pretax Coffee JV costs flowing through noncontrolling interest, and convertible preferred costs (the greater of a ~$53 million quarterly dividend or ~8% proportionate earnings share). These mechanics will affect reported EPS bridges and are worth watching for any surprises.</w:t>
      </w:r>
    </w:p>
    <w:bookmarkEnd w:id="13"/>
    <w:bookmarkStart w:id="14" w:name="X94eb4f00d13abaaa6c316efe3c6cf45e4780215"/>
    <w:p>
      <w:pPr>
        <w:pStyle w:val="Heading2"/>
      </w:pPr>
      <w:r>
        <w:t xml:space="preserve">5. Valuation &amp; Sentiment Backdrop</w:t>
      </w:r>
    </w:p>
    <w:p>
      <w:pPr>
        <w:pStyle w:val="FirstParagraph"/>
      </w:pPr>
      <w:r>
        <w:t xml:space="preserve">Ahead of the print, KDP stock has declined roughly 1% over the past 52 weeks, underperforming both the S&amp;P 500 and the Consumer Staples sector, with investors remaining cautious about its modest long-term growth, and revenue has increased at a moderate 5.7% annualized rate over the past three years, trailing many staples peers. However, sentiment has improved recently: on June 25, shares climbed more than 3% after Barclays upgraded the stock to "Overweight" from "Equal Weight" and raised its price target to $36. Separately, industry commentary heading into the print notes KDP is carrying a Zacks Earnings ESP of -1.82% (Most Accurate Estimate below consensus) and a Zacks Rank of #3, a combination that makes it difficult to conclusively predict a beat, though the company has a solid recent beat history — last quarter it was expected to post $0.37 and delivered $0.39, a 5.41% surprise. A pre-earnings note from earlier in the week described KDP as heading into earnings with an average analyst price target of $35.24 compared to a current share price of $31.27, and observed that peers in the beverages/alcohol/tobacco group are up 2.8% on average over the past month while KDP is down 1.5% — suggesting relative underperformance into the print despite a generally constructive analyst view (roughly 75% buy-rated).</w:t>
      </w:r>
    </w:p>
    <w:bookmarkEnd w:id="14"/>
    <w:bookmarkStart w:id="15" w:name="Xec74210e68ba7d23d8cdc238a1b5fe78fd4e22d"/>
    <w:p>
      <w:pPr>
        <w:pStyle w:val="Heading2"/>
      </w:pPr>
      <w:r>
        <w:t xml:space="preserve">6. What to Watch on Tomorrow's Call</w:t>
      </w:r>
    </w:p>
    <w:p>
      <w:pPr>
        <w:pStyle w:val="Compact"/>
        <w:numPr>
          <w:ilvl w:val="0"/>
          <w:numId w:val="1001"/>
        </w:numPr>
      </w:pPr>
      <w:r>
        <w:rPr>
          <w:b/>
          <w:bCs/>
        </w:rPr>
        <w:t xml:space="preserve">Coffee margin trajectory</w:t>
      </w:r>
      <w:r>
        <w:t xml:space="preserve"> </w:t>
      </w:r>
      <w:r>
        <w:t xml:space="preserve">— is the promised sequential easing of cost pressure (vs. Q1's ~21% operating income decline) materializing on schedule, and is pod-shipment/trade-inventory normalization tracking?</w:t>
      </w:r>
    </w:p>
    <w:p>
      <w:pPr>
        <w:pStyle w:val="Compact"/>
        <w:numPr>
          <w:ilvl w:val="0"/>
          <w:numId w:val="1001"/>
        </w:numPr>
      </w:pPr>
      <w:r>
        <w:rPr>
          <w:b/>
          <w:bCs/>
        </w:rPr>
        <w:t xml:space="preserve">JDE Peet's integration proof points</w:t>
      </w:r>
      <w:r>
        <w:t xml:space="preserve"> </w:t>
      </w:r>
      <w:r>
        <w:t xml:space="preserve">— early synergy capture, cost/revenue synergy phasing toward the $400M target, and any surprises in reported segment economics now that a full quarter is embedded.</w:t>
      </w:r>
    </w:p>
    <w:p>
      <w:pPr>
        <w:pStyle w:val="Compact"/>
        <w:numPr>
          <w:ilvl w:val="0"/>
          <w:numId w:val="1001"/>
        </w:numPr>
      </w:pPr>
      <w:r>
        <w:rPr>
          <w:b/>
          <w:bCs/>
        </w:rPr>
        <w:t xml:space="preserve">U.S. Refreshment Beverages durability</w:t>
      </w:r>
      <w:r>
        <w:t xml:space="preserve"> </w:t>
      </w:r>
      <w:r>
        <w:t xml:space="preserve">— how much Q1's growth was one-off (GHOST distribution comp) vs. sustainable, and read-through from CSD innovation (Creamy Coconut, Canada Dry Fruit Splash) and the energy/hydration portfolio.</w:t>
      </w:r>
    </w:p>
    <w:p>
      <w:pPr>
        <w:pStyle w:val="Compact"/>
        <w:numPr>
          <w:ilvl w:val="0"/>
          <w:numId w:val="1001"/>
        </w:numPr>
      </w:pPr>
      <w:r>
        <w:rPr>
          <w:b/>
          <w:bCs/>
        </w:rPr>
        <w:t xml:space="preserve">Full-year guidance</w:t>
      </w:r>
      <w:r>
        <w:t xml:space="preserve"> </w:t>
      </w:r>
      <w:r>
        <w:t xml:space="preserve">— reaffirm, raise, or any nuance to the low-double-digit EPS growth and $25.9–26.4B sales range; FX and tariff/commodity commentary given recent Middle East-related input cost volatility (aluminum, resins, freight).</w:t>
      </w:r>
    </w:p>
    <w:p>
      <w:pPr>
        <w:pStyle w:val="Compact"/>
        <w:numPr>
          <w:ilvl w:val="0"/>
          <w:numId w:val="1001"/>
        </w:numPr>
      </w:pPr>
      <w:r>
        <w:rPr>
          <w:b/>
          <w:bCs/>
        </w:rPr>
        <w:t xml:space="preserve">Separation and leadership updates</w:t>
      </w:r>
      <w:r>
        <w:t xml:space="preserve"> </w:t>
      </w:r>
      <w:r>
        <w:t xml:space="preserve">— any news on the Global Coffee Co. CEO search, further detail on the "operational readiness by year-end 2026 / separation in early 2027" timeline, and capital allocation optionality (noncore asset sales, deleveraging pace).</w:t>
      </w:r>
    </w:p>
    <w:p>
      <w:pPr>
        <w:pStyle w:val="Compact"/>
        <w:numPr>
          <w:ilvl w:val="0"/>
          <w:numId w:val="1001"/>
        </w:numPr>
      </w:pPr>
      <w:r>
        <w:rPr>
          <w:b/>
          <w:bCs/>
        </w:rPr>
        <w:t xml:space="preserve">Free cash flow and leverage</w:t>
      </w:r>
      <w:r>
        <w:t xml:space="preserve"> </w:t>
      </w:r>
      <w:r>
        <w:t xml:space="preserve">— progress against the ~$2.5B full-year FCF target and the 4.5x midyear net leverage expectation, now that Q1's transaction-related cash flows (bridge financing, preferred issuance) are behind the company.</w:t>
      </w:r>
    </w:p>
    <w:p>
      <w:r>
        <w:pict>
          <v:rect style="width:0;height:1.5pt" o:hralign="center" o:hrstd="t" o:hr="t"/>
        </w:pict>
      </w:r>
    </w:p>
    <w:p>
      <w:pPr>
        <w:pStyle w:val="FirstParagraph"/>
      </w:pPr>
      <w:r>
        <w:rPr>
          <w:b/>
          <w:bCs/>
        </w:rPr>
        <w:t xml:space="preserve">Bottom line:</w:t>
      </w:r>
      <w:r>
        <w:t xml:space="preserve"> </w:t>
      </w:r>
      <w:r>
        <w:t xml:space="preserve">KDP heads into Q2 earnings as a story less about a single quarter's beat/miss and more about whether management's promised H2 inflection (easing coffee costs, building synergies, accelerating EPS growth) stays on track — all set against the backdrop of an unusually complex balance sheet, a pending corporate breakup, and a newly vacant Global Coffee Co. CEO seat. A "reaffirm and stay the course" quarter would likely be well-received given depressed sentiment and a wide gap to price targets; any signs of slippage in the coffee margin recovery or separation timeline would likely be punished given how much of the bull case rests on H2 execution.</w:t>
      </w:r>
    </w:p>
    <w:bookmarkEnd w:id="15"/>
    <w:bookmarkEnd w:id="16"/>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2026-08-06T00:09:56Z</dcterms:created>
  <dcterms:modified xsi:type="dcterms:W3CDTF">2026-08-06T00:09:56Z</dcterms:modified>
</cp:coreProperties>
</file>

<file path=docProps/custom.xml><?xml version="1.0" encoding="utf-8"?>
<Properties xmlns="http://schemas.openxmlformats.org/officeDocument/2006/custom-properties" xmlns:vt="http://schemas.openxmlformats.org/officeDocument/2006/docPropsVTypes"/>
</file>