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kdp-2026q2-earnings-preview"/>
    <w:p>
      <w:pPr>
        <w:pStyle w:val="Heading1"/>
      </w:pPr>
      <w:r>
        <w:t xml:space="preserve">KDP 2026Q2 Earnings Preview</w:t>
      </w:r>
    </w:p>
    <w:p>
      <w:pPr>
        <w:pStyle w:val="BlockText"/>
      </w:pPr>
      <w:r>
        <w:rPr>
          <w:b/>
          <w:bCs/>
        </w:rPr>
        <w:t xml:space="preserve">Timing clarification:</w:t>
      </w:r>
      <w:r>
        <w:t xml:space="preserve"> </w:t>
      </w:r>
      <w:r>
        <w:t xml:space="preserve">Keurig Dr Pepper scheduled its Q2 results for</w:t>
      </w:r>
      <w:r>
        <w:t xml:space="preserve"> </w:t>
      </w:r>
      <w:r>
        <w:rPr>
          <w:b/>
          <w:bCs/>
        </w:rPr>
        <w:t xml:space="preserve">Thursday, August 6, 2026, before the market opens</w:t>
      </w:r>
      <w:r>
        <w:t xml:space="preserve">, with the earnings call at</w:t>
      </w:r>
      <w:r>
        <w:t xml:space="preserve"> </w:t>
      </w:r>
      <w:r>
        <w:rPr>
          <w:b/>
          <w:bCs/>
        </w:rPr>
        <w:t xml:space="preserve">8:00 a.m. ET</w:t>
      </w:r>
      <w:r>
        <w:t xml:space="preserve">. That is today, not tomorrow.</w:t>
      </w:r>
    </w:p>
    <w:bookmarkStart w:id="9" w:name="investment-view-going-into-the-print"/>
    <w:p>
      <w:pPr>
        <w:pStyle w:val="Heading2"/>
      </w:pPr>
      <w:r>
        <w:t xml:space="preserve">Investment view going into the print</w:t>
      </w:r>
    </w:p>
    <w:p>
      <w:pPr>
        <w:pStyle w:val="FirstParagraph"/>
      </w:pPr>
      <w:r>
        <w:t xml:space="preserve">This will be an unusually important—and unusually complicated—quarter for KDP. It is the first report to include a full quarter of JDE Peet’s following the April 1 acquisition, while KDP is simultaneously integrating the business, carrying substantially more leverage, and preparing to separate into Beverage Co. and Global Coffee Co. in early 2027.</w:t>
      </w:r>
    </w:p>
    <w:p>
      <w:pPr>
        <w:pStyle w:val="BodyText"/>
      </w:pPr>
      <w:r>
        <w:t xml:space="preserve">The headline revenue comparison will therefore be less informative than usual. The market is more likely to focus on four questions:</w:t>
      </w:r>
    </w:p>
    <w:p>
      <w:pPr>
        <w:pStyle w:val="Compact"/>
        <w:numPr>
          <w:ilvl w:val="0"/>
          <w:numId w:val="1001"/>
        </w:numPr>
      </w:pPr>
      <w:r>
        <w:rPr>
          <w:b/>
          <w:bCs/>
        </w:rPr>
        <w:t xml:space="preserve">Is legacy KDP still executing, particularly in U.S. Refreshment Beverages?</w:t>
      </w:r>
    </w:p>
    <w:p>
      <w:pPr>
        <w:pStyle w:val="Compact"/>
        <w:numPr>
          <w:ilvl w:val="0"/>
          <w:numId w:val="1001"/>
        </w:numPr>
      </w:pPr>
      <w:r>
        <w:rPr>
          <w:b/>
          <w:bCs/>
        </w:rPr>
        <w:t xml:space="preserve">Are the severe first-quarter coffee pressures beginning to moderate?</w:t>
      </w:r>
    </w:p>
    <w:p>
      <w:pPr>
        <w:pStyle w:val="Compact"/>
        <w:numPr>
          <w:ilvl w:val="0"/>
          <w:numId w:val="1001"/>
        </w:numPr>
      </w:pPr>
      <w:r>
        <w:rPr>
          <w:b/>
          <w:bCs/>
        </w:rPr>
        <w:t xml:space="preserve">Is JDE Peet’s performing in line with the acquisition case?</w:t>
      </w:r>
    </w:p>
    <w:p>
      <w:pPr>
        <w:pStyle w:val="Compact"/>
        <w:numPr>
          <w:ilvl w:val="0"/>
          <w:numId w:val="1001"/>
        </w:numPr>
      </w:pPr>
      <w:r>
        <w:rPr>
          <w:b/>
          <w:bCs/>
        </w:rPr>
        <w:t xml:space="preserve">Can KDP preserve guidance, cash generation, and the separation timetable despite integration and leadership risk?</w:t>
      </w:r>
    </w:p>
    <w:p>
      <w:pPr>
        <w:pStyle w:val="FirstParagraph"/>
      </w:pPr>
      <w:r>
        <w:t xml:space="preserve">The setup is constructive but not without execution risk. At $30.77 on August 5, the stock was approximately 8% above its April 23 close but about 8% below its late-June high. That suggests investors have rewarded the better first-quarter execution while retaining some skepticism around coffee, leverage, and the transformation.</w:t>
      </w:r>
    </w:p>
    <w:p>
      <w:r>
        <w:pict>
          <v:rect style="width:0;height:1.5pt" o:hralign="center" o:hrstd="t" o:hr="t"/>
        </w:pict>
      </w:r>
    </w:p>
    <w:bookmarkEnd w:id="9"/>
    <w:bookmarkStart w:id="11" w:name="the-numerical-framework"/>
    <w:p>
      <w:pPr>
        <w:pStyle w:val="Heading2"/>
      </w:pPr>
      <w:r>
        <w:t xml:space="preserve">The numerical framework</w:t>
      </w:r>
    </w:p>
    <w:p>
      <w:pPr>
        <w:pStyle w:val="FirstParagraph"/>
      </w:pPr>
      <w:r>
        <w:t xml:space="preserve">KDP has guided to</w:t>
      </w:r>
      <w:r>
        <w:t xml:space="preserve"> </w:t>
      </w:r>
      <w:r>
        <w:rPr>
          <w:b/>
          <w:bCs/>
        </w:rPr>
        <w:t xml:space="preserve">high-single-digit adjusted EPS growth in Q2</w:t>
      </w:r>
      <w:r>
        <w:t xml:space="preserve"> </w:t>
      </w:r>
      <w:r>
        <w:t xml:space="preserve">for the total company. Against Q2 2025 adjusted EPS of $0.49, that implies a management benchmark of roughly: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2025</w:t>
            </w:r>
          </w:p>
        </w:tc>
        <w:tc>
          <w:tcPr/>
          <w:p>
            <w:pPr>
              <w:pStyle w:val="Compact"/>
              <w:jc w:val="right"/>
            </w:pPr>
            <w:r>
              <w:t xml:space="preserve">Q2 2026 framework</w:t>
            </w:r>
          </w:p>
        </w:tc>
      </w:tr>
      <w:tr>
        <w:tc>
          <w:tcPr/>
          <w:p>
            <w:pPr>
              <w:pStyle w:val="Compact"/>
            </w:pPr>
            <w:r>
              <w:t xml:space="preserve">Adjusted EPS</w:t>
            </w:r>
          </w:p>
        </w:tc>
        <w:tc>
          <w:tcPr/>
          <w:p>
            <w:pPr>
              <w:pStyle w:val="Compact"/>
              <w:jc w:val="right"/>
            </w:pPr>
            <w:r>
              <w:t xml:space="preserve">$0.49</w:t>
            </w:r>
          </w:p>
        </w:tc>
        <w:tc>
          <w:tcPr/>
          <w:p>
            <w:pPr>
              <w:pStyle w:val="Compact"/>
              <w:jc w:val="right"/>
            </w:pPr>
            <w:r>
              <w:t xml:space="preserve">Approximately</w:t>
            </w:r>
            <w:r>
              <w:t xml:space="preserve"> </w:t>
            </w:r>
            <m:oMath>
              <m:r>
                <m:t>0.52</m:t>
              </m:r>
              <m:r>
                <m:rPr>
                  <m:sty m:val="p"/>
                </m:rPr>
                <m:t>–</m:t>
              </m:r>
            </m:oMath>
            <w:r>
              <w:rPr>
                <w:b/>
                <w:bCs/>
              </w:rPr>
              <w:t xml:space="preserve">0.53</w:t>
            </w:r>
          </w:p>
        </w:tc>
      </w:tr>
      <w:tr>
        <w:tc>
          <w:tcPr/>
          <w:p>
            <w:pPr>
              <w:pStyle w:val="Compact"/>
            </w:pPr>
            <w:r>
              <w:t xml:space="preserve">Legacy KDP revenue</w:t>
            </w:r>
          </w:p>
        </w:tc>
        <w:tc>
          <w:tcPr/>
          <w:p>
            <w:pPr>
              <w:pStyle w:val="Compact"/>
              <w:jc w:val="right"/>
            </w:pPr>
            <w:r>
              <w:t xml:space="preserve">$4.16B</w:t>
            </w:r>
          </w:p>
        </w:tc>
        <w:tc>
          <w:tcPr/>
          <w:p>
            <w:pPr>
              <w:pStyle w:val="Compact"/>
              <w:jc w:val="right"/>
            </w:pPr>
            <w:r>
              <w:t xml:space="preserve">Roughly</w:t>
            </w:r>
            <w:r>
              <w:t xml:space="preserve"> </w:t>
            </w:r>
            <m:oMath>
              <m:r>
                <m:t>4.3</m:t>
              </m:r>
              <m:r>
                <m:rPr>
                  <m:sty m:val="p"/>
                </m:rPr>
                <m:t>–</m:t>
              </m:r>
            </m:oMath>
            <w:r>
              <w:rPr>
                <w:b/>
                <w:bCs/>
              </w:rPr>
              <w:t xml:space="preserve">4.4B</w:t>
            </w:r>
            <w:r>
              <w:t xml:space="preserve"> </w:t>
            </w:r>
            <w:r>
              <w:t xml:space="preserve">if annual organic guidance is on track</w:t>
            </w:r>
          </w:p>
        </w:tc>
      </w:tr>
      <w:tr>
        <w:tc>
          <w:tcPr/>
          <w:p>
            <w:pPr>
              <w:pStyle w:val="Compact"/>
            </w:pPr>
            <w:r>
              <w:t xml:space="preserve">JDE Peet’s revenue</w:t>
            </w:r>
          </w:p>
        </w:tc>
        <w:tc>
          <w:tcPr/>
          <w:p>
            <w:pPr>
              <w:pStyle w:val="Compact"/>
              <w:jc w:val="right"/>
            </w:pPr>
            <w:r>
              <w:t xml:space="preserve">Not consolidated</w:t>
            </w:r>
          </w:p>
        </w:tc>
        <w:tc>
          <w:tcPr/>
          <w:p>
            <w:pPr>
              <w:pStyle w:val="Compact"/>
              <w:jc w:val="right"/>
            </w:pPr>
            <w:r>
              <w:t xml:space="preserve">Approximately</w:t>
            </w:r>
            <w:r>
              <w:t xml:space="preserve"> </w:t>
            </w:r>
            <m:oMath>
              <m:r>
                <m:t>2.8</m:t>
              </m:r>
              <m:r>
                <m:rPr>
                  <m:sty m:val="p"/>
                </m:rPr>
                <m:t>–</m:t>
              </m:r>
            </m:oMath>
            <w:r>
              <w:rPr>
                <w:b/>
                <w:bCs/>
              </w:rPr>
              <w:t xml:space="preserve">2.9B</w:t>
            </w:r>
            <w:r>
              <w:t xml:space="preserve"> </w:t>
            </w:r>
            <w:r>
              <w:t xml:space="preserve">quarterly run rate</w:t>
            </w:r>
          </w:p>
        </w:tc>
      </w:tr>
      <w:tr>
        <w:tc>
          <w:tcPr/>
          <w:p>
            <w:pPr>
              <w:pStyle w:val="Compact"/>
            </w:pPr>
            <w:r>
              <w:t xml:space="preserve">Indicative total revenue</w:t>
            </w:r>
          </w:p>
        </w:tc>
        <w:tc>
          <w:tcPr/>
          <w:p>
            <w:pPr>
              <w:pStyle w:val="Compact"/>
              <w:jc w:val="right"/>
            </w:pPr>
            <w:r>
              <w:t xml:space="preserve">—</w:t>
            </w:r>
          </w:p>
        </w:tc>
        <w:tc>
          <w:tcPr/>
          <w:p>
            <w:pPr>
              <w:pStyle w:val="Compact"/>
              <w:jc w:val="right"/>
            </w:pPr>
            <w:r>
              <w:t xml:space="preserve">Approximately</w:t>
            </w:r>
            <w:r>
              <w:t xml:space="preserve"> </w:t>
            </w:r>
            <m:oMath>
              <m:r>
                <m:t>7.2</m:t>
              </m:r>
              <m:r>
                <m:rPr>
                  <m:sty m:val="p"/>
                </m:rPr>
                <m:t>–</m:t>
              </m:r>
            </m:oMath>
            <w:r>
              <w:rPr>
                <w:b/>
                <w:bCs/>
              </w:rPr>
              <w:t xml:space="preserve">7.3B</w:t>
            </w:r>
          </w:p>
        </w:tc>
      </w:tr>
    </w:tbl>
    <w:p>
      <w:pPr>
        <w:pStyle w:val="BodyText"/>
      </w:pPr>
      <w:r>
        <w:t xml:space="preserve">These revenue figures are a run-rate framework rather than a clean consensus estimate. Foreign exchange, acquisition accounting, seasonality, intercompany eliminations, and reporting changes could produce meaningful differences.</w:t>
      </w:r>
    </w:p>
    <w:bookmarkStart w:id="10" w:name="current-full-year-guidance"/>
    <w:p>
      <w:pPr>
        <w:pStyle w:val="Heading3"/>
      </w:pPr>
      <w:r>
        <w:t xml:space="preserve">Current full-year guidance</w:t>
      </w:r>
    </w:p>
    <w:p>
      <w:pPr>
        <w:pStyle w:val="FirstParagraph"/>
      </w:pPr>
      <w:r>
        <w:t xml:space="preserve">KDP most recently reaffirmed:</w:t>
      </w:r>
    </w:p>
    <w:p>
      <w:pPr>
        <w:pStyle w:val="Compact"/>
        <w:numPr>
          <w:ilvl w:val="0"/>
          <w:numId w:val="1002"/>
        </w:numPr>
      </w:pPr>
      <w:r>
        <w:rPr>
          <w:b/>
          <w:bCs/>
        </w:rPr>
        <w:t xml:space="preserve">Revenue:</w:t>
      </w:r>
      <w:r>
        <w:t xml:space="preserve"> </w:t>
      </w:r>
      <m:oMath>
        <m:r>
          <m:t>25.9</m:t>
        </m:r>
        <m:r>
          <m:rPr>
            <m:sty m:val="p"/>
          </m:rPr>
          <m:t>–</m:t>
        </m:r>
      </m:oMath>
      <w:r>
        <w:t xml:space="preserve">26.4 billion</w:t>
      </w:r>
    </w:p>
    <w:p>
      <w:pPr>
        <w:pStyle w:val="Compact"/>
        <w:numPr>
          <w:ilvl w:val="0"/>
          <w:numId w:val="1002"/>
        </w:numPr>
      </w:pPr>
      <w:r>
        <w:rPr>
          <w:b/>
          <w:bCs/>
        </w:rPr>
        <w:t xml:space="preserve">Legacy KDP constant-currency revenue growth:</w:t>
      </w:r>
      <w:r>
        <w:t xml:space="preserve"> </w:t>
      </w:r>
      <w:r>
        <w:t xml:space="preserve">4%–6%</w:t>
      </w:r>
    </w:p>
    <w:p>
      <w:pPr>
        <w:pStyle w:val="Compact"/>
        <w:numPr>
          <w:ilvl w:val="0"/>
          <w:numId w:val="1002"/>
        </w:numPr>
      </w:pPr>
      <w:r>
        <w:rPr>
          <w:b/>
          <w:bCs/>
        </w:rPr>
        <w:t xml:space="preserve">JDE Peet’s contribution from April 1:</w:t>
      </w:r>
      <w:r>
        <w:t xml:space="preserve"> </w:t>
      </w:r>
      <m:oMath>
        <m:r>
          <m:t>8.5</m:t>
        </m:r>
        <m:r>
          <m:rPr>
            <m:sty m:val="p"/>
          </m:rPr>
          <m:t>–</m:t>
        </m:r>
      </m:oMath>
      <w:r>
        <w:t xml:space="preserve">8.7 billion</w:t>
      </w:r>
    </w:p>
    <w:p>
      <w:pPr>
        <w:pStyle w:val="Compact"/>
        <w:numPr>
          <w:ilvl w:val="0"/>
          <w:numId w:val="1002"/>
        </w:numPr>
      </w:pPr>
      <w:r>
        <w:rPr>
          <w:b/>
          <w:bCs/>
        </w:rPr>
        <w:t xml:space="preserve">Adjusted EPS growth:</w:t>
      </w:r>
      <w:r>
        <w:t xml:space="preserve"> </w:t>
      </w:r>
      <w:r>
        <w:t xml:space="preserve">low double digits at constant currency</w:t>
      </w:r>
    </w:p>
    <w:p>
      <w:pPr>
        <w:pStyle w:val="Compact"/>
        <w:numPr>
          <w:ilvl w:val="1"/>
          <w:numId w:val="1003"/>
        </w:numPr>
      </w:pPr>
      <w:r>
        <w:t xml:space="preserve">4–6 percentage points from legacy KDP</w:t>
      </w:r>
    </w:p>
    <w:p>
      <w:pPr>
        <w:pStyle w:val="Compact"/>
        <w:numPr>
          <w:ilvl w:val="1"/>
          <w:numId w:val="1003"/>
        </w:numPr>
      </w:pPr>
      <w:r>
        <w:t xml:space="preserve">6–7 percentage points from the JDE Peet’s acquisition</w:t>
      </w:r>
    </w:p>
    <w:p>
      <w:pPr>
        <w:pStyle w:val="Compact"/>
        <w:numPr>
          <w:ilvl w:val="0"/>
          <w:numId w:val="1002"/>
        </w:numPr>
      </w:pPr>
      <w:r>
        <w:rPr>
          <w:b/>
          <w:bCs/>
        </w:rPr>
        <w:t xml:space="preserve">Aggregate free cash flow:</w:t>
      </w:r>
      <w:r>
        <w:t xml:space="preserve"> </w:t>
      </w:r>
      <w:r>
        <w:t xml:space="preserve">approximately $2.5 billion</w:t>
      </w:r>
    </w:p>
    <w:p>
      <w:pPr>
        <w:pStyle w:val="Compact"/>
        <w:numPr>
          <w:ilvl w:val="0"/>
          <w:numId w:val="1002"/>
        </w:numPr>
      </w:pPr>
      <w:r>
        <w:rPr>
          <w:b/>
          <w:bCs/>
        </w:rPr>
        <w:t xml:space="preserve">Midyear net leverage:</w:t>
      </w:r>
      <w:r>
        <w:t xml:space="preserve"> </w:t>
      </w:r>
      <w:r>
        <w:t xml:space="preserve">approximately 4.5x</w:t>
      </w:r>
    </w:p>
    <w:p>
      <w:pPr>
        <w:pStyle w:val="Compact"/>
        <w:numPr>
          <w:ilvl w:val="0"/>
          <w:numId w:val="1002"/>
        </w:numPr>
      </w:pPr>
      <w:r>
        <w:rPr>
          <w:b/>
          <w:bCs/>
        </w:rPr>
        <w:t xml:space="preserve">FX:</w:t>
      </w:r>
      <w:r>
        <w:t xml:space="preserve"> </w:t>
      </w:r>
      <w:r>
        <w:t xml:space="preserve">approximately a one-percentage-point tailwind to revenue and EPS</w:t>
      </w:r>
    </w:p>
    <w:p>
      <w:pPr>
        <w:pStyle w:val="FirstParagraph"/>
      </w:pPr>
      <w:r>
        <w:t xml:space="preserve">A roughly $0.53 result with guidance reiterated would qualify as an acceptable print. A stronger result will require more than an EPS beat: investors will want evidence that the second-half profit acceleration is operationally credible.</w:t>
      </w:r>
    </w:p>
    <w:p>
      <w:r>
        <w:pict>
          <v:rect style="width:0;height:1.5pt" o:hralign="center" o:hrstd="t" o:hr="t"/>
        </w:pict>
      </w:r>
    </w:p>
    <w:bookmarkEnd w:id="10"/>
    <w:bookmarkEnd w:id="11"/>
    <w:bookmarkStart w:id="15" w:name="X5182572686e5ff3f10e4eee9db34470bc44fe5e"/>
    <w:p>
      <w:pPr>
        <w:pStyle w:val="Heading2"/>
      </w:pPr>
      <w:r>
        <w:t xml:space="preserve">1. U.S. Refreshment Beverages remains the earnings anchor</w:t>
      </w:r>
    </w:p>
    <w:p>
      <w:pPr>
        <w:pStyle w:val="FirstParagraph"/>
      </w:pPr>
      <w:r>
        <w:t xml:space="preserve">This is the strongest part of the current KDP story. First-quarter segment revenue rose 11.9% and operating income increased 9.8%, supported by healthy carbonated-soft-drink trends, pricing, energy, sports hydration, and distribution execution.</w:t>
      </w:r>
    </w:p>
    <w:p>
      <w:pPr>
        <w:pStyle w:val="BodyText"/>
      </w:pPr>
      <w:r>
        <w:t xml:space="preserve">Management cautioned that growth should moderate after Q1 because the prior quarter benefited by a couple of percentage points from incremental GHOST distribution. Even so, it expects Refreshment Beverages to remain an outsized contributor relative to legacy KDP’s 4%–6% sales-growth target.</w:t>
      </w:r>
    </w:p>
    <w:bookmarkStart w:id="12" w:name="what-to-watch"/>
    <w:p>
      <w:pPr>
        <w:pStyle w:val="Heading3"/>
      </w:pPr>
      <w:r>
        <w:t xml:space="preserve">What to watch</w:t>
      </w:r>
    </w:p>
    <w:p>
      <w:pPr>
        <w:pStyle w:val="Compact"/>
        <w:numPr>
          <w:ilvl w:val="0"/>
          <w:numId w:val="1004"/>
        </w:numPr>
      </w:pPr>
      <w:r>
        <w:rPr>
          <w:b/>
          <w:bCs/>
        </w:rPr>
        <w:t xml:space="preserve">Organic volume/mix after normalizing for GHOST</w:t>
      </w:r>
    </w:p>
    <w:p>
      <w:pPr>
        <w:pStyle w:val="Compact"/>
        <w:numPr>
          <w:ilvl w:val="0"/>
          <w:numId w:val="1004"/>
        </w:numPr>
      </w:pPr>
      <w:r>
        <w:t xml:space="preserve">Continued share performance for the core Dr Pepper regular, diet, and zero-sugar lines</w:t>
      </w:r>
    </w:p>
    <w:p>
      <w:pPr>
        <w:pStyle w:val="Compact"/>
        <w:numPr>
          <w:ilvl w:val="0"/>
          <w:numId w:val="1004"/>
        </w:numPr>
      </w:pPr>
      <w:r>
        <w:t xml:space="preserve">Contribution from</w:t>
      </w:r>
      <w:r>
        <w:t xml:space="preserve"> </w:t>
      </w:r>
      <w:r>
        <w:rPr>
          <w:b/>
          <w:bCs/>
        </w:rPr>
        <w:t xml:space="preserve">Dr Pepper Creamy Coconut</w:t>
      </w:r>
      <w:r>
        <w:t xml:space="preserve"> </w:t>
      </w:r>
      <w:r>
        <w:t xml:space="preserve">and</w:t>
      </w:r>
      <w:r>
        <w:t xml:space="preserve"> </w:t>
      </w:r>
      <w:r>
        <w:rPr>
          <w:b/>
          <w:bCs/>
        </w:rPr>
        <w:t xml:space="preserve">Canada Dry Fruit Splash Strawberry</w:t>
      </w:r>
    </w:p>
    <w:p>
      <w:pPr>
        <w:pStyle w:val="Compact"/>
        <w:numPr>
          <w:ilvl w:val="0"/>
          <w:numId w:val="1004"/>
        </w:numPr>
      </w:pPr>
      <w:r>
        <w:t xml:space="preserve">Distribution and velocity for</w:t>
      </w:r>
      <w:r>
        <w:t xml:space="preserve"> </w:t>
      </w:r>
      <w:r>
        <w:rPr>
          <w:b/>
          <w:bCs/>
        </w:rPr>
        <w:t xml:space="preserve">GHOST, Bloom, C4, and Black Rifle</w:t>
      </w:r>
    </w:p>
    <w:p>
      <w:pPr>
        <w:pStyle w:val="Compact"/>
        <w:numPr>
          <w:ilvl w:val="0"/>
          <w:numId w:val="1004"/>
        </w:numPr>
      </w:pPr>
      <w:r>
        <w:t xml:space="preserve">Electrolit distribution and sports-hydration share</w:t>
      </w:r>
    </w:p>
    <w:p>
      <w:pPr>
        <w:pStyle w:val="Compact"/>
        <w:numPr>
          <w:ilvl w:val="0"/>
          <w:numId w:val="1004"/>
        </w:numPr>
      </w:pPr>
      <w:r>
        <w:t xml:space="preserve">Whether pricing continues to offset packaging, freight, and other inflation without damaging volume</w:t>
      </w:r>
    </w:p>
    <w:p>
      <w:pPr>
        <w:pStyle w:val="Compact"/>
        <w:numPr>
          <w:ilvl w:val="0"/>
          <w:numId w:val="1004"/>
        </w:numPr>
      </w:pPr>
      <w:r>
        <w:t xml:space="preserve">Commentary on SNAP-related risks and consumer affordability</w:t>
      </w:r>
    </w:p>
    <w:bookmarkEnd w:id="12"/>
    <w:bookmarkStart w:id="13" w:name="what-would-be-encouraging"/>
    <w:p>
      <w:pPr>
        <w:pStyle w:val="Heading3"/>
      </w:pPr>
      <w:r>
        <w:t xml:space="preserve">What would be encouraging</w:t>
      </w:r>
    </w:p>
    <w:p>
      <w:pPr>
        <w:pStyle w:val="FirstParagraph"/>
      </w:pPr>
      <w:r>
        <w:t xml:space="preserve">A high-single-digit or better segment sales increase, with positive underlying volume and continued operating-income growth, would show that the business can sustain momentum after cycling the GHOST distribution benefit.</w:t>
      </w:r>
    </w:p>
    <w:bookmarkEnd w:id="13"/>
    <w:bookmarkStart w:id="14" w:name="main-risk"/>
    <w:p>
      <w:pPr>
        <w:pStyle w:val="Heading3"/>
      </w:pPr>
      <w:r>
        <w:t xml:space="preserve">Main risk</w:t>
      </w:r>
    </w:p>
    <w:p>
      <w:pPr>
        <w:pStyle w:val="FirstParagraph"/>
      </w:pPr>
      <w:r>
        <w:t xml:space="preserve">The bar is no longer low. If Refreshment Beverage volume slows materially or segment profit fails to keep pace with revenue, investors may question whether higher marketing, promotional activity, and inflation are eroding the segment’s earnings quality.</w:t>
      </w:r>
    </w:p>
    <w:p>
      <w:r>
        <w:pict>
          <v:rect style="width:0;height:1.5pt" o:hralign="center" o:hrstd="t" o:hr="t"/>
        </w:pict>
      </w:r>
    </w:p>
    <w:bookmarkEnd w:id="14"/>
    <w:bookmarkEnd w:id="15"/>
    <w:bookmarkStart w:id="17" w:name="X1cd3b22ba7b6a625f40447b3a9f25235d5356c3"/>
    <w:p>
      <w:pPr>
        <w:pStyle w:val="Heading2"/>
      </w:pPr>
      <w:r>
        <w:t xml:space="preserve">2. U.S. Coffee does not need to recover yet—but it must stop deteriorating</w:t>
      </w:r>
    </w:p>
    <w:p>
      <w:pPr>
        <w:pStyle w:val="FirstParagraph"/>
      </w:pPr>
      <w:r>
        <w:t xml:space="preserve">U.S. Coffee was the major weak point in Q1:</w:t>
      </w:r>
    </w:p>
    <w:p>
      <w:pPr>
        <w:pStyle w:val="Compact"/>
        <w:numPr>
          <w:ilvl w:val="0"/>
          <w:numId w:val="1005"/>
        </w:numPr>
      </w:pPr>
      <w:r>
        <w:t xml:space="preserve">Revenue declined</w:t>
      </w:r>
      <w:r>
        <w:t xml:space="preserve"> </w:t>
      </w:r>
      <w:r>
        <w:rPr>
          <w:b/>
          <w:bCs/>
        </w:rPr>
        <w:t xml:space="preserve">2.3%</w:t>
      </w:r>
    </w:p>
    <w:p>
      <w:pPr>
        <w:pStyle w:val="Compact"/>
        <w:numPr>
          <w:ilvl w:val="0"/>
          <w:numId w:val="1005"/>
        </w:numPr>
      </w:pPr>
      <w:r>
        <w:t xml:space="preserve">Volume/mix declined</w:t>
      </w:r>
      <w:r>
        <w:t xml:space="preserve"> </w:t>
      </w:r>
      <w:r>
        <w:rPr>
          <w:b/>
          <w:bCs/>
        </w:rPr>
        <w:t xml:space="preserve">8.2%</w:t>
      </w:r>
    </w:p>
    <w:p>
      <w:pPr>
        <w:pStyle w:val="Compact"/>
        <w:numPr>
          <w:ilvl w:val="0"/>
          <w:numId w:val="1005"/>
        </w:numPr>
      </w:pPr>
      <w:r>
        <w:t xml:space="preserve">Pod shipments fell</w:t>
      </w:r>
      <w:r>
        <w:t xml:space="preserve"> </w:t>
      </w:r>
      <w:r>
        <w:rPr>
          <w:b/>
          <w:bCs/>
        </w:rPr>
        <w:t xml:space="preserve">7%</w:t>
      </w:r>
    </w:p>
    <w:p>
      <w:pPr>
        <w:pStyle w:val="Compact"/>
        <w:numPr>
          <w:ilvl w:val="0"/>
          <w:numId w:val="1005"/>
        </w:numPr>
      </w:pPr>
      <w:r>
        <w:t xml:space="preserve">Brewer shipments declined at a high-single-digit rate</w:t>
      </w:r>
    </w:p>
    <w:p>
      <w:pPr>
        <w:pStyle w:val="Compact"/>
        <w:numPr>
          <w:ilvl w:val="0"/>
          <w:numId w:val="1005"/>
        </w:numPr>
      </w:pPr>
      <w:r>
        <w:t xml:space="preserve">Segment operating income fell</w:t>
      </w:r>
      <w:r>
        <w:t xml:space="preserve"> </w:t>
      </w:r>
      <w:r>
        <w:rPr>
          <w:b/>
          <w:bCs/>
        </w:rPr>
        <w:t xml:space="preserve">21.3%</w:t>
      </w:r>
    </w:p>
    <w:p>
      <w:pPr>
        <w:pStyle w:val="FirstParagraph"/>
      </w:pPr>
      <w:r>
        <w:t xml:space="preserve">The pressure reflected elevated green-coffee costs, tariffs, shipment timing, trade-inventory reductions, brewer elasticity, and increased marketing. Management said Q1 should be the year’s worst profit decline, with modest improvement in Q2 and a more meaningful recovery in the second half.</w:t>
      </w:r>
    </w:p>
    <w:p>
      <w:pPr>
        <w:pStyle w:val="BodyText"/>
      </w:pPr>
      <w:r>
        <w:t xml:space="preserve">That makes Q2 a credibility checkpoint. Investors do not need to see a full rebound, but they do need evidence that the Q1 trough thesis remains intact.</w:t>
      </w:r>
    </w:p>
    <w:bookmarkStart w:id="16" w:name="critical-questions"/>
    <w:p>
      <w:pPr>
        <w:pStyle w:val="Heading3"/>
      </w:pPr>
      <w:r>
        <w:t xml:space="preserve">Critical questions</w:t>
      </w:r>
    </w:p>
    <w:p>
      <w:pPr>
        <w:pStyle w:val="Compact"/>
        <w:numPr>
          <w:ilvl w:val="0"/>
          <w:numId w:val="1006"/>
        </w:numPr>
      </w:pPr>
      <w:r>
        <w:t xml:space="preserve">Are pod shipments beginning to reconnect with retail consumption?</w:t>
      </w:r>
    </w:p>
    <w:p>
      <w:pPr>
        <w:pStyle w:val="Compact"/>
        <w:numPr>
          <w:ilvl w:val="0"/>
          <w:numId w:val="1006"/>
        </w:numPr>
      </w:pPr>
      <w:r>
        <w:t xml:space="preserve">Have retailer inventory reductions largely run their course?</w:t>
      </w:r>
    </w:p>
    <w:p>
      <w:pPr>
        <w:pStyle w:val="Compact"/>
        <w:numPr>
          <w:ilvl w:val="0"/>
          <w:numId w:val="1006"/>
        </w:numPr>
      </w:pPr>
      <w:r>
        <w:t xml:space="preserve">How much did pricing offset coffee inflation?</w:t>
      </w:r>
    </w:p>
    <w:p>
      <w:pPr>
        <w:pStyle w:val="Compact"/>
        <w:numPr>
          <w:ilvl w:val="0"/>
          <w:numId w:val="1006"/>
        </w:numPr>
      </w:pPr>
      <w:r>
        <w:t xml:space="preserve">Are elasticities still “manageable,” or are higher shelf prices causing more pressure?</w:t>
      </w:r>
    </w:p>
    <w:p>
      <w:pPr>
        <w:pStyle w:val="Compact"/>
        <w:numPr>
          <w:ilvl w:val="0"/>
          <w:numId w:val="1006"/>
        </w:numPr>
      </w:pPr>
      <w:r>
        <w:t xml:space="preserve">Did the operating-income decline moderate from Q1’s 21%?</w:t>
      </w:r>
    </w:p>
    <w:p>
      <w:pPr>
        <w:pStyle w:val="Compact"/>
        <w:numPr>
          <w:ilvl w:val="0"/>
          <w:numId w:val="1006"/>
        </w:numPr>
      </w:pPr>
      <w:r>
        <w:t xml:space="preserve">Has the cost outlook for the second half improved, remained stable, or worsened?</w:t>
      </w:r>
    </w:p>
    <w:p>
      <w:pPr>
        <w:pStyle w:val="Compact"/>
        <w:numPr>
          <w:ilvl w:val="0"/>
          <w:numId w:val="1006"/>
        </w:numPr>
      </w:pPr>
      <w:r>
        <w:t xml:space="preserve">Is Keurig Coffee Collective generating incremental sales?</w:t>
      </w:r>
    </w:p>
    <w:p>
      <w:pPr>
        <w:pStyle w:val="Compact"/>
        <w:numPr>
          <w:ilvl w:val="0"/>
          <w:numId w:val="1006"/>
        </w:numPr>
      </w:pPr>
      <w:r>
        <w:t xml:space="preserve">Is the targeted direct-to-consumer launch of</w:t>
      </w:r>
      <w:r>
        <w:t xml:space="preserve"> </w:t>
      </w:r>
      <w:r>
        <w:rPr>
          <w:b/>
          <w:bCs/>
        </w:rPr>
        <w:t xml:space="preserve">Keurig Alta</w:t>
      </w:r>
      <w:r>
        <w:t xml:space="preserve"> </w:t>
      </w:r>
      <w:r>
        <w:t xml:space="preserve">still on schedule for later in 2026?</w:t>
      </w:r>
    </w:p>
    <w:p>
      <w:pPr>
        <w:pStyle w:val="FirstParagraph"/>
      </w:pPr>
      <w:r>
        <w:t xml:space="preserve">The most important commentary may concern the profit bridge rather than Q2 itself. Management previously suggested that market coffee prices flow through its P&amp;L with a six-to-nine-month lag and that current pricing could become a tailwind in 2027. Investors will want that timeline reaffirmed.</w:t>
      </w:r>
    </w:p>
    <w:p>
      <w:r>
        <w:pict>
          <v:rect style="width:0;height:1.5pt" o:hralign="center" o:hrstd="t" o:hr="t"/>
        </w:pict>
      </w:r>
    </w:p>
    <w:bookmarkEnd w:id="16"/>
    <w:bookmarkEnd w:id="17"/>
    <w:bookmarkStart w:id="20" w:name="Xf2c65c94be1bfce992dd283e16b9e24d224d441"/>
    <w:p>
      <w:pPr>
        <w:pStyle w:val="Heading2"/>
      </w:pPr>
      <w:r>
        <w:t xml:space="preserve">3. JDE Peet’s: the first real look at the acquired business</w:t>
      </w:r>
    </w:p>
    <w:p>
      <w:pPr>
        <w:pStyle w:val="FirstParagraph"/>
      </w:pPr>
      <w:r>
        <w:t xml:space="preserve">This quarter brings JDE Peet’s into KDP’s reported results as a separate segment. Management expects the acquired business to contribute</w:t>
      </w:r>
      <w:r>
        <w:t xml:space="preserve"> </w:t>
      </w:r>
      <m:oMath>
        <m:r>
          <m:t>8.5</m:t>
        </m:r>
        <m:r>
          <m:rPr>
            <m:sty m:val="p"/>
          </m:rPr>
          <m:t>–</m:t>
        </m:r>
      </m:oMath>
      <w:r>
        <w:t xml:space="preserve">8.7 billion of revenue during the nine months following the April 1 close, or approximately</w:t>
      </w:r>
      <w:r>
        <w:t xml:space="preserve"> </w:t>
      </w:r>
      <m:oMath>
        <m:r>
          <m:t>2.8</m:t>
        </m:r>
        <m:r>
          <m:rPr>
            <m:sty m:val="p"/>
          </m:rPr>
          <m:t>–</m:t>
        </m:r>
      </m:oMath>
      <w:r>
        <w:t xml:space="preserve">2.9 billion per quarter on average.</w:t>
      </w:r>
    </w:p>
    <w:p>
      <w:pPr>
        <w:pStyle w:val="BodyText"/>
      </w:pPr>
      <w:r>
        <w:t xml:space="preserve">JDE Peet’s entered the combination with significant brand and geographic scale, but also considerable exposure to coffee inflation. In 2025, it generated €9.9 billion of revenue, while adjusted segment EBIT was essentially flat despite double-digit reported revenue growth—illustrating how commodity-driven pricing does not necessarily translate into profit growth.</w:t>
      </w:r>
    </w:p>
    <w:bookmarkStart w:id="18" w:name="what-investors-need-from-the-report"/>
    <w:p>
      <w:pPr>
        <w:pStyle w:val="Heading3"/>
      </w:pPr>
      <w:r>
        <w:t xml:space="preserve">What investors need from the report</w:t>
      </w:r>
    </w:p>
    <w:p>
      <w:pPr>
        <w:pStyle w:val="Compact"/>
        <w:numPr>
          <w:ilvl w:val="0"/>
          <w:numId w:val="1007"/>
        </w:numPr>
      </w:pPr>
      <w:r>
        <w:t xml:space="preserve">Clear revenue, volume/mix, pricing, and profit disclosure for the new segment</w:t>
      </w:r>
    </w:p>
    <w:p>
      <w:pPr>
        <w:pStyle w:val="Compact"/>
        <w:numPr>
          <w:ilvl w:val="0"/>
          <w:numId w:val="1007"/>
        </w:numPr>
      </w:pPr>
      <w:r>
        <w:t xml:space="preserve">Evidence that underlying performance is consistent with KDP’s acquisition assumptions</w:t>
      </w:r>
    </w:p>
    <w:p>
      <w:pPr>
        <w:pStyle w:val="Compact"/>
        <w:numPr>
          <w:ilvl w:val="0"/>
          <w:numId w:val="1007"/>
        </w:numPr>
      </w:pPr>
      <w:r>
        <w:t xml:space="preserve">Quantification of realized or committed synergies</w:t>
      </w:r>
    </w:p>
    <w:p>
      <w:pPr>
        <w:pStyle w:val="Compact"/>
        <w:numPr>
          <w:ilvl w:val="0"/>
          <w:numId w:val="1007"/>
        </w:numPr>
      </w:pPr>
      <w:r>
        <w:t xml:space="preserve">Confirmation of the</w:t>
      </w:r>
      <w:r>
        <w:t xml:space="preserve"> </w:t>
      </w:r>
      <w:r>
        <w:rPr>
          <w:b/>
          <w:bCs/>
        </w:rPr>
        <w:t xml:space="preserve">$400 million synergy target</w:t>
      </w:r>
    </w:p>
    <w:p>
      <w:pPr>
        <w:pStyle w:val="Compact"/>
        <w:numPr>
          <w:ilvl w:val="0"/>
          <w:numId w:val="1007"/>
        </w:numPr>
      </w:pPr>
      <w:r>
        <w:t xml:space="preserve">A clear explanation of acquisition-accounting effects</w:t>
      </w:r>
    </w:p>
    <w:p>
      <w:pPr>
        <w:pStyle w:val="Compact"/>
        <w:numPr>
          <w:ilvl w:val="0"/>
          <w:numId w:val="1007"/>
        </w:numPr>
      </w:pPr>
      <w:r>
        <w:t xml:space="preserve">An updated second-half margin bridge as favorable coffee costs begin to flow through</w:t>
      </w:r>
    </w:p>
    <w:p>
      <w:pPr>
        <w:pStyle w:val="Compact"/>
        <w:numPr>
          <w:ilvl w:val="0"/>
          <w:numId w:val="1007"/>
        </w:numPr>
      </w:pPr>
      <w:r>
        <w:t xml:space="preserve">Any changes to integration costs or separation spending</w:t>
      </w:r>
    </w:p>
    <w:p>
      <w:pPr>
        <w:pStyle w:val="FirstParagraph"/>
      </w:pPr>
      <w:r>
        <w:t xml:space="preserve">JDE Peet’s is global and carries additional foreign-exchange, geopolitical, and emerging-market exposure. Its Russian operation represented approximately 6% of JDE Peet’s 2025 revenue, adding a risk that did not previously exist at comparable scale within KDP.</w:t>
      </w:r>
    </w:p>
    <w:bookmarkEnd w:id="18"/>
    <w:bookmarkStart w:id="19" w:name="the-key-distinction"/>
    <w:p>
      <w:pPr>
        <w:pStyle w:val="Heading3"/>
      </w:pPr>
      <w:r>
        <w:t xml:space="preserve">The key distinction</w:t>
      </w:r>
    </w:p>
    <w:p>
      <w:pPr>
        <w:pStyle w:val="FirstParagraph"/>
      </w:pPr>
      <w:r>
        <w:t xml:space="preserve">Strong reported JDE Peet’s revenue driven primarily by pricing would not be enough. The market will care much more about:</w:t>
      </w:r>
    </w:p>
    <w:p>
      <w:pPr>
        <w:pStyle w:val="Compact"/>
        <w:numPr>
          <w:ilvl w:val="0"/>
          <w:numId w:val="1008"/>
        </w:numPr>
      </w:pPr>
      <w:r>
        <w:t xml:space="preserve">Organic volume resilience</w:t>
      </w:r>
    </w:p>
    <w:p>
      <w:pPr>
        <w:pStyle w:val="Compact"/>
        <w:numPr>
          <w:ilvl w:val="0"/>
          <w:numId w:val="1008"/>
        </w:numPr>
      </w:pPr>
      <w:r>
        <w:t xml:space="preserve">Adjusted operating profit</w:t>
      </w:r>
    </w:p>
    <w:p>
      <w:pPr>
        <w:pStyle w:val="Compact"/>
        <w:numPr>
          <w:ilvl w:val="0"/>
          <w:numId w:val="1008"/>
        </w:numPr>
      </w:pPr>
      <w:r>
        <w:t xml:space="preserve">Cash conversion</w:t>
      </w:r>
    </w:p>
    <w:p>
      <w:pPr>
        <w:pStyle w:val="Compact"/>
        <w:numPr>
          <w:ilvl w:val="0"/>
          <w:numId w:val="1008"/>
        </w:numPr>
      </w:pPr>
      <w:r>
        <w:t xml:space="preserve">Synergy realization</w:t>
      </w:r>
    </w:p>
    <w:p>
      <w:pPr>
        <w:pStyle w:val="Compact"/>
        <w:numPr>
          <w:ilvl w:val="0"/>
          <w:numId w:val="1008"/>
        </w:numPr>
      </w:pPr>
      <w:r>
        <w:t xml:space="preserve">Whether the acquired business remains accretive after interest, preferred-security costs, and minority interests</w:t>
      </w:r>
    </w:p>
    <w:p>
      <w:r>
        <w:pict>
          <v:rect style="width:0;height:1.5pt" o:hralign="center" o:hrstd="t" o:hr="t"/>
        </w:pict>
      </w:r>
    </w:p>
    <w:bookmarkEnd w:id="19"/>
    <w:bookmarkEnd w:id="20"/>
    <w:bookmarkStart w:id="23" w:name="X222556a4673a0bcbe4ea03e749d4a841e5e9374"/>
    <w:p>
      <w:pPr>
        <w:pStyle w:val="Heading2"/>
      </w:pPr>
      <w:r>
        <w:t xml:space="preserve">4. Guidance quality matters more than a small quarterly beat</w:t>
      </w:r>
    </w:p>
    <w:p>
      <w:pPr>
        <w:pStyle w:val="FirstParagraph"/>
      </w:pPr>
      <w:r>
        <w:t xml:space="preserve">KDP’s full-year outlook requires earnings growth to accelerate after Q2. Management expects high-single-digit growth this quarter followed by stronger growth in the second half as:</w:t>
      </w:r>
    </w:p>
    <w:p>
      <w:pPr>
        <w:pStyle w:val="Compact"/>
        <w:numPr>
          <w:ilvl w:val="0"/>
          <w:numId w:val="1009"/>
        </w:numPr>
      </w:pPr>
      <w:r>
        <w:t xml:space="preserve">Green-coffee inflation eases</w:t>
      </w:r>
    </w:p>
    <w:p>
      <w:pPr>
        <w:pStyle w:val="Compact"/>
        <w:numPr>
          <w:ilvl w:val="0"/>
          <w:numId w:val="1009"/>
        </w:numPr>
      </w:pPr>
      <w:r>
        <w:t xml:space="preserve">Trade inventories normalize</w:t>
      </w:r>
    </w:p>
    <w:p>
      <w:pPr>
        <w:pStyle w:val="Compact"/>
        <w:numPr>
          <w:ilvl w:val="0"/>
          <w:numId w:val="1009"/>
        </w:numPr>
      </w:pPr>
      <w:r>
        <w:t xml:space="preserve">JDE Peet’s profit improves</w:t>
      </w:r>
    </w:p>
    <w:p>
      <w:pPr>
        <w:pStyle w:val="Compact"/>
        <w:numPr>
          <w:ilvl w:val="0"/>
          <w:numId w:val="1009"/>
        </w:numPr>
      </w:pPr>
      <w:r>
        <w:t xml:space="preserve">Acquisition synergies build</w:t>
      </w:r>
    </w:p>
    <w:p>
      <w:pPr>
        <w:pStyle w:val="Compact"/>
        <w:numPr>
          <w:ilvl w:val="0"/>
          <w:numId w:val="1009"/>
        </w:numPr>
      </w:pPr>
      <w:r>
        <w:t xml:space="preserve">Refreshment Beverage momentum continues</w:t>
      </w:r>
    </w:p>
    <w:p>
      <w:pPr>
        <w:pStyle w:val="FirstParagraph"/>
      </w:pPr>
      <w:r>
        <w:t xml:space="preserve">That is a credible bridge, but it contains several moving parts. A simple reiteration of guidance may not be sufficient if management becomes less specific about the drivers.</w:t>
      </w:r>
    </w:p>
    <w:bookmarkStart w:id="21" w:name="X6572d411cf46f8603a6d58aa2004e12ca994048"/>
    <w:p>
      <w:pPr>
        <w:pStyle w:val="Heading3"/>
      </w:pPr>
      <w:r>
        <w:t xml:space="preserve">A high-quality reaffirmation would include</w:t>
      </w:r>
    </w:p>
    <w:p>
      <w:pPr>
        <w:pStyle w:val="Compact"/>
        <w:numPr>
          <w:ilvl w:val="0"/>
          <w:numId w:val="1010"/>
        </w:numPr>
      </w:pPr>
      <w:r>
        <w:t xml:space="preserve">No reduction to legacy KDP’s 4%–6% constant-currency sales growth</w:t>
      </w:r>
    </w:p>
    <w:p>
      <w:pPr>
        <w:pStyle w:val="Compact"/>
        <w:numPr>
          <w:ilvl w:val="0"/>
          <w:numId w:val="1010"/>
        </w:numPr>
      </w:pPr>
      <w:r>
        <w:t xml:space="preserve">No reduction to low-double-digit EPS growth</w:t>
      </w:r>
    </w:p>
    <w:p>
      <w:pPr>
        <w:pStyle w:val="Compact"/>
        <w:numPr>
          <w:ilvl w:val="0"/>
          <w:numId w:val="1010"/>
        </w:numPr>
      </w:pPr>
      <w:r>
        <w:t xml:space="preserve">Continued confidence in the</w:t>
      </w:r>
      <w:r>
        <w:t xml:space="preserve"> </w:t>
      </w:r>
      <m:oMath>
        <m:r>
          <m:t>8.5</m:t>
        </m:r>
        <m:r>
          <m:rPr>
            <m:sty m:val="p"/>
          </m:rPr>
          <m:t>–</m:t>
        </m:r>
      </m:oMath>
      <w:r>
        <w:t xml:space="preserve">8.7 billion JDE Peet’s contribution</w:t>
      </w:r>
    </w:p>
    <w:p>
      <w:pPr>
        <w:pStyle w:val="Compact"/>
        <w:numPr>
          <w:ilvl w:val="0"/>
          <w:numId w:val="1010"/>
        </w:numPr>
      </w:pPr>
      <w:r>
        <w:t xml:space="preserve">An intact second-half coffee-cost benefit</w:t>
      </w:r>
    </w:p>
    <w:p>
      <w:pPr>
        <w:pStyle w:val="Compact"/>
        <w:numPr>
          <w:ilvl w:val="0"/>
          <w:numId w:val="1010"/>
        </w:numPr>
      </w:pPr>
      <w:r>
        <w:t xml:space="preserve">Measurable synergy progress</w:t>
      </w:r>
    </w:p>
    <w:p>
      <w:pPr>
        <w:pStyle w:val="Compact"/>
        <w:numPr>
          <w:ilvl w:val="0"/>
          <w:numId w:val="1010"/>
        </w:numPr>
      </w:pPr>
      <w:r>
        <w:t xml:space="preserve">No deterioration in the $2.5 billion free-cash-flow target</w:t>
      </w:r>
    </w:p>
    <w:p>
      <w:pPr>
        <w:pStyle w:val="Compact"/>
        <w:numPr>
          <w:ilvl w:val="0"/>
          <w:numId w:val="1010"/>
        </w:numPr>
      </w:pPr>
      <w:r>
        <w:t xml:space="preserve">Midyear leverage close to the approximately 4.5x plan</w:t>
      </w:r>
    </w:p>
    <w:p>
      <w:pPr>
        <w:pStyle w:val="Compact"/>
        <w:numPr>
          <w:ilvl w:val="0"/>
          <w:numId w:val="1010"/>
        </w:numPr>
      </w:pPr>
      <w:r>
        <w:t xml:space="preserve">Operational readiness to separate by year-end 2026</w:t>
      </w:r>
    </w:p>
    <w:bookmarkEnd w:id="21"/>
    <w:bookmarkStart w:id="22" w:name="a-lower-quality-reaffirmation"/>
    <w:p>
      <w:pPr>
        <w:pStyle w:val="Heading3"/>
      </w:pPr>
      <w:r>
        <w:t xml:space="preserve">A lower-quality reaffirmation</w:t>
      </w:r>
    </w:p>
    <w:p>
      <w:pPr>
        <w:pStyle w:val="FirstParagraph"/>
      </w:pPr>
      <w:r>
        <w:t xml:space="preserve">Investors should be cautious if guidance is maintained mainly through stronger FX, lower taxes, accounting adjustments, or other below-the-line benefits while operating-profit expectations weaken.</w:t>
      </w:r>
    </w:p>
    <w:p>
      <w:r>
        <w:pict>
          <v:rect style="width:0;height:1.5pt" o:hralign="center" o:hrstd="t" o:hr="t"/>
        </w:pict>
      </w:r>
    </w:p>
    <w:bookmarkEnd w:id="22"/>
    <w:bookmarkEnd w:id="23"/>
    <w:bookmarkStart w:id="25" w:name="Xb516f901f7206c497aed603a08ad340436d07f9"/>
    <w:p>
      <w:pPr>
        <w:pStyle w:val="Heading2"/>
      </w:pPr>
      <w:r>
        <w:t xml:space="preserve">5. Cash flow and leverage are now central to the thesis</w:t>
      </w:r>
    </w:p>
    <w:p>
      <w:pPr>
        <w:pStyle w:val="FirstParagraph"/>
      </w:pPr>
      <w:r>
        <w:t xml:space="preserve">The JDE Peet’s transaction materially increased KDP’s financial complexity. Financing included:</w:t>
      </w:r>
    </w:p>
    <w:p>
      <w:pPr>
        <w:pStyle w:val="Compact"/>
        <w:numPr>
          <w:ilvl w:val="0"/>
          <w:numId w:val="1011"/>
        </w:numPr>
      </w:pPr>
      <w:r>
        <w:t xml:space="preserve">Approximately $6 billion of newly issued senior debt</w:t>
      </w:r>
    </w:p>
    <w:p>
      <w:pPr>
        <w:pStyle w:val="Compact"/>
        <w:numPr>
          <w:ilvl w:val="0"/>
          <w:numId w:val="1011"/>
        </w:numPr>
      </w:pPr>
      <w:r>
        <w:t xml:space="preserve">Additional term-loan borrowings</w:t>
      </w:r>
    </w:p>
    <w:p>
      <w:pPr>
        <w:pStyle w:val="Compact"/>
        <w:numPr>
          <w:ilvl w:val="0"/>
          <w:numId w:val="1011"/>
        </w:numPr>
      </w:pPr>
      <w:r>
        <w:t xml:space="preserve">A $4.5 billion Beverage Co. convertible preferred investment</w:t>
      </w:r>
    </w:p>
    <w:p>
      <w:pPr>
        <w:pStyle w:val="Compact"/>
        <w:numPr>
          <w:ilvl w:val="0"/>
          <w:numId w:val="1011"/>
        </w:numPr>
      </w:pPr>
      <w:r>
        <w:t xml:space="preserve">A $4 billion minority investment in the coffee pod-manufacturing joint venture</w:t>
      </w:r>
    </w:p>
    <w:p>
      <w:pPr>
        <w:pStyle w:val="FirstParagraph"/>
      </w:pPr>
      <w:r>
        <w:t xml:space="preserve">Management expects approximately $2.5 billion of aggregate 2026 free cash flow and has said cash generation should permit deleveraging of roughly half a turn annually.</w:t>
      </w:r>
    </w:p>
    <w:p>
      <w:pPr>
        <w:pStyle w:val="BodyText"/>
      </w:pPr>
      <w:r>
        <w:t xml:space="preserve">The quarter will also introduce new P&amp;L items:</w:t>
      </w:r>
    </w:p>
    <w:p>
      <w:pPr>
        <w:pStyle w:val="Compact"/>
        <w:numPr>
          <w:ilvl w:val="0"/>
          <w:numId w:val="1012"/>
        </w:numPr>
      </w:pPr>
      <w:r>
        <w:t xml:space="preserve">Approximately</w:t>
      </w:r>
      <w:r>
        <w:t xml:space="preserve"> </w:t>
      </w:r>
      <w:r>
        <w:rPr>
          <w:b/>
          <w:bCs/>
        </w:rPr>
        <w:t xml:space="preserve">$190 million of 2026 pretax Coffee JV costs</w:t>
      </w:r>
      <w:r>
        <w:t xml:space="preserve">, reported through noncontrolling interests</w:t>
      </w:r>
    </w:p>
    <w:p>
      <w:pPr>
        <w:pStyle w:val="Compact"/>
        <w:numPr>
          <w:ilvl w:val="0"/>
          <w:numId w:val="1012"/>
        </w:numPr>
      </w:pPr>
      <w:r>
        <w:t xml:space="preserve">Preferred-security costs equal to the greater of an approximately</w:t>
      </w:r>
      <w:r>
        <w:t xml:space="preserve"> </w:t>
      </w:r>
      <w:r>
        <w:rPr>
          <w:b/>
          <w:bCs/>
        </w:rPr>
        <w:t xml:space="preserve">$53 million quarterly dividend</w:t>
      </w:r>
      <w:r>
        <w:t xml:space="preserve"> </w:t>
      </w:r>
      <w:r>
        <w:t xml:space="preserve">or roughly</w:t>
      </w:r>
      <w:r>
        <w:t xml:space="preserve"> </w:t>
      </w:r>
      <w:r>
        <w:rPr>
          <w:b/>
          <w:bCs/>
        </w:rPr>
        <w:t xml:space="preserve">8% of proportionate earnings</w:t>
      </w:r>
    </w:p>
    <w:p>
      <w:pPr>
        <w:pStyle w:val="FirstParagraph"/>
      </w:pPr>
      <w:r>
        <w:t xml:space="preserve">These mechanics can make adjusted EPS difficult to interpret. Investors should reconcile the operating result to cash generation rather than treating adjusted EPS as the sole scorecard.</w:t>
      </w:r>
    </w:p>
    <w:bookmarkStart w:id="24" w:name="watch-for"/>
    <w:p>
      <w:pPr>
        <w:pStyle w:val="Heading3"/>
      </w:pPr>
      <w:r>
        <w:t xml:space="preserve">Watch for</w:t>
      </w:r>
    </w:p>
    <w:p>
      <w:pPr>
        <w:pStyle w:val="Compact"/>
        <w:numPr>
          <w:ilvl w:val="0"/>
          <w:numId w:val="1013"/>
        </w:numPr>
      </w:pPr>
      <w:r>
        <w:t xml:space="preserve">Net leverage versus the approximately 4.5x midyear target</w:t>
      </w:r>
    </w:p>
    <w:p>
      <w:pPr>
        <w:pStyle w:val="Compact"/>
        <w:numPr>
          <w:ilvl w:val="0"/>
          <w:numId w:val="1013"/>
        </w:numPr>
      </w:pPr>
      <w:r>
        <w:t xml:space="preserve">Working-capital requirements, especially coffee inventories</w:t>
      </w:r>
    </w:p>
    <w:p>
      <w:pPr>
        <w:pStyle w:val="Compact"/>
        <w:numPr>
          <w:ilvl w:val="0"/>
          <w:numId w:val="1013"/>
        </w:numPr>
      </w:pPr>
      <w:r>
        <w:t xml:space="preserve">Interest expense versus the</w:t>
      </w:r>
      <w:r>
        <w:t xml:space="preserve"> </w:t>
      </w:r>
      <m:oMath>
        <m:r>
          <m:t>1.13</m:t>
        </m:r>
        <m:r>
          <m:rPr>
            <m:sty m:val="p"/>
          </m:rPr>
          <m:t>–</m:t>
        </m:r>
      </m:oMath>
      <w:r>
        <w:t xml:space="preserve">1.16 billion annual outlook</w:t>
      </w:r>
    </w:p>
    <w:p>
      <w:pPr>
        <w:pStyle w:val="Compact"/>
        <w:numPr>
          <w:ilvl w:val="0"/>
          <w:numId w:val="1013"/>
        </w:numPr>
      </w:pPr>
      <w:r>
        <w:t xml:space="preserve">Integration and separation cash costs</w:t>
      </w:r>
    </w:p>
    <w:p>
      <w:pPr>
        <w:pStyle w:val="Compact"/>
        <w:numPr>
          <w:ilvl w:val="0"/>
          <w:numId w:val="1013"/>
        </w:numPr>
      </w:pPr>
      <w:r>
        <w:t xml:space="preserve">Potential noncore asset or minority-investment sales</w:t>
      </w:r>
    </w:p>
    <w:p>
      <w:pPr>
        <w:pStyle w:val="Compact"/>
        <w:numPr>
          <w:ilvl w:val="0"/>
          <w:numId w:val="1013"/>
        </w:numPr>
      </w:pPr>
      <w:r>
        <w:t xml:space="preserve">Whether investment-grade ratings remain secure</w:t>
      </w:r>
    </w:p>
    <w:p>
      <w:r>
        <w:pict>
          <v:rect style="width:0;height:1.5pt" o:hralign="center" o:hrstd="t" o:hr="t"/>
        </w:pict>
      </w:r>
    </w:p>
    <w:bookmarkEnd w:id="24"/>
    <w:bookmarkEnd w:id="25"/>
    <w:bookmarkStart w:id="26" w:name="X33444cf5390bde7f5a6e4a6875a4dd22eae6ed1"/>
    <w:p>
      <w:pPr>
        <w:pStyle w:val="Heading2"/>
      </w:pPr>
      <w:r>
        <w:t xml:space="preserve">6. Separation execution and the Global Coffee CEO search</w:t>
      </w:r>
    </w:p>
    <w:p>
      <w:pPr>
        <w:pStyle w:val="FirstParagraph"/>
      </w:pPr>
      <w:r>
        <w:t xml:space="preserve">KDP is targeting operational readiness to separate by the end of 2026, with the formal separation likely in early 2027, subject to market conditions.</w:t>
      </w:r>
    </w:p>
    <w:p>
      <w:pPr>
        <w:pStyle w:val="BodyText"/>
      </w:pPr>
      <w:r>
        <w:t xml:space="preserve">Leadership uncertainty has increased. Rafa Oliveira, who had been selected to lead Global Coffee Co., left at the end of July for an outside CEO role. KDP’s board is searching for a replacement, while Tim Cofer is overseeing the coffee business in addition to running KDP and preparing to become CEO of Beverage Co.</w:t>
      </w:r>
    </w:p>
    <w:p>
      <w:pPr>
        <w:pStyle w:val="BodyText"/>
      </w:pPr>
      <w:r>
        <w:t xml:space="preserve">This is not necessarily a near-term earnings issue, but it is material to the transaction’s execution risk.</w:t>
      </w:r>
    </w:p>
    <w:p>
      <w:pPr>
        <w:pStyle w:val="BodyText"/>
      </w:pPr>
      <w:r>
        <w:t xml:space="preserve">Investors should listen for:</w:t>
      </w:r>
    </w:p>
    <w:p>
      <w:pPr>
        <w:pStyle w:val="Compact"/>
        <w:numPr>
          <w:ilvl w:val="0"/>
          <w:numId w:val="1014"/>
        </w:numPr>
      </w:pPr>
      <w:r>
        <w:t xml:space="preserve">Progress in appointing the Global Coffee Co. CEO</w:t>
      </w:r>
    </w:p>
    <w:p>
      <w:pPr>
        <w:pStyle w:val="Compact"/>
        <w:numPr>
          <w:ilvl w:val="0"/>
          <w:numId w:val="1014"/>
        </w:numPr>
      </w:pPr>
      <w:r>
        <w:t xml:space="preserve">Whether the departure changed integration responsibilities</w:t>
      </w:r>
    </w:p>
    <w:p>
      <w:pPr>
        <w:pStyle w:val="Compact"/>
        <w:numPr>
          <w:ilvl w:val="0"/>
          <w:numId w:val="1014"/>
        </w:numPr>
      </w:pPr>
      <w:r>
        <w:t xml:space="preserve">Confirmation of the early-2027 separation target</w:t>
      </w:r>
    </w:p>
    <w:p>
      <w:pPr>
        <w:pStyle w:val="Compact"/>
        <w:numPr>
          <w:ilvl w:val="0"/>
          <w:numId w:val="1014"/>
        </w:numPr>
      </w:pPr>
      <w:r>
        <w:t xml:space="preserve">Details on the standalone management teams and boards</w:t>
      </w:r>
    </w:p>
    <w:p>
      <w:pPr>
        <w:pStyle w:val="Compact"/>
        <w:numPr>
          <w:ilvl w:val="0"/>
          <w:numId w:val="1014"/>
        </w:numPr>
      </w:pPr>
      <w:r>
        <w:t xml:space="preserve">Target capital structures for each company</w:t>
      </w:r>
    </w:p>
    <w:p>
      <w:pPr>
        <w:pStyle w:val="Compact"/>
        <w:numPr>
          <w:ilvl w:val="0"/>
          <w:numId w:val="1014"/>
        </w:numPr>
      </w:pPr>
      <w:r>
        <w:t xml:space="preserve">Separation costs and stranded-cost mitigation</w:t>
      </w:r>
    </w:p>
    <w:p>
      <w:pPr>
        <w:pStyle w:val="FirstParagraph"/>
      </w:pPr>
      <w:r>
        <w:t xml:space="preserve">KDP previously targeted leverage of</w:t>
      </w:r>
      <w:r>
        <w:t xml:space="preserve"> </w:t>
      </w:r>
      <w:r>
        <w:rPr>
          <w:b/>
          <w:bCs/>
        </w:rPr>
        <w:t xml:space="preserve">3.5–4.0x for Beverage Co.</w:t>
      </w:r>
      <w:r>
        <w:t xml:space="preserve"> </w:t>
      </w:r>
      <w:r>
        <w:t xml:space="preserve">and</w:t>
      </w:r>
      <w:r>
        <w:t xml:space="preserve"> </w:t>
      </w:r>
      <w:r>
        <w:rPr>
          <w:b/>
          <w:bCs/>
        </w:rPr>
        <w:t xml:space="preserve">3.75–4.2x for Global Coffee Co.</w:t>
      </w:r>
      <w:r>
        <w:t xml:space="preserve"> </w:t>
      </w:r>
      <w:r>
        <w:t xml:space="preserve">at separation. Any change to those ranges would be significant.</w:t>
      </w:r>
    </w:p>
    <w:p>
      <w:r>
        <w:pict>
          <v:rect style="width:0;height:1.5pt" o:hralign="center" o:hrstd="t" o:hr="t"/>
        </w:pict>
      </w:r>
    </w:p>
    <w:bookmarkEnd w:id="26"/>
    <w:bookmarkStart w:id="30" w:name="scenario-analysis"/>
    <w:p>
      <w:pPr>
        <w:pStyle w:val="Heading2"/>
      </w:pPr>
      <w:r>
        <w:t xml:space="preserve">Scenario analysis</w:t>
      </w:r>
    </w:p>
    <w:bookmarkStart w:id="27" w:name="bull-case"/>
    <w:p>
      <w:pPr>
        <w:pStyle w:val="Heading3"/>
      </w:pPr>
      <w:r>
        <w:t xml:space="preserve">Bull case</w:t>
      </w:r>
    </w:p>
    <w:p>
      <w:pPr>
        <w:pStyle w:val="Compact"/>
        <w:numPr>
          <w:ilvl w:val="0"/>
          <w:numId w:val="1015"/>
        </w:numPr>
      </w:pPr>
      <w:r>
        <w:t xml:space="preserve">Adjusted EPS of approximately</w:t>
      </w:r>
      <w:r>
        <w:t xml:space="preserve"> </w:t>
      </w:r>
      <w:r>
        <w:rPr>
          <w:b/>
          <w:bCs/>
        </w:rPr>
        <w:t xml:space="preserve">$0.54 or better</w:t>
      </w:r>
    </w:p>
    <w:p>
      <w:pPr>
        <w:pStyle w:val="Compact"/>
        <w:numPr>
          <w:ilvl w:val="0"/>
          <w:numId w:val="1015"/>
        </w:numPr>
      </w:pPr>
      <w:r>
        <w:t xml:space="preserve">Refreshment Beverage growth remains strong with healthy underlying volume</w:t>
      </w:r>
    </w:p>
    <w:p>
      <w:pPr>
        <w:pStyle w:val="Compact"/>
        <w:numPr>
          <w:ilvl w:val="0"/>
          <w:numId w:val="1015"/>
        </w:numPr>
      </w:pPr>
      <w:r>
        <w:t xml:space="preserve">U.S. Coffee profit declines materially less than in Q1</w:t>
      </w:r>
    </w:p>
    <w:p>
      <w:pPr>
        <w:pStyle w:val="Compact"/>
        <w:numPr>
          <w:ilvl w:val="0"/>
          <w:numId w:val="1015"/>
        </w:numPr>
      </w:pPr>
      <w:r>
        <w:t xml:space="preserve">JDE Peet’s meets or exceeds its implied revenue and profit run rate</w:t>
      </w:r>
    </w:p>
    <w:p>
      <w:pPr>
        <w:pStyle w:val="Compact"/>
        <w:numPr>
          <w:ilvl w:val="0"/>
          <w:numId w:val="1015"/>
        </w:numPr>
      </w:pPr>
      <w:r>
        <w:t xml:space="preserve">Management identifies tangible early synergies</w:t>
      </w:r>
    </w:p>
    <w:p>
      <w:pPr>
        <w:pStyle w:val="Compact"/>
        <w:numPr>
          <w:ilvl w:val="0"/>
          <w:numId w:val="1015"/>
        </w:numPr>
      </w:pPr>
      <w:r>
        <w:t xml:space="preserve">Full-year guidance is reiterated with increased confidence</w:t>
      </w:r>
    </w:p>
    <w:p>
      <w:pPr>
        <w:pStyle w:val="Compact"/>
        <w:numPr>
          <w:ilvl w:val="0"/>
          <w:numId w:val="1015"/>
        </w:numPr>
      </w:pPr>
      <w:r>
        <w:t xml:space="preserve">Free cash flow and leverage remain on plan</w:t>
      </w:r>
    </w:p>
    <w:p>
      <w:pPr>
        <w:pStyle w:val="Compact"/>
        <w:numPr>
          <w:ilvl w:val="0"/>
          <w:numId w:val="1015"/>
        </w:numPr>
      </w:pPr>
      <w:r>
        <w:t xml:space="preserve">Separation timing is reaffirmed and the CEO search is progressing</w:t>
      </w:r>
    </w:p>
    <w:p>
      <w:pPr>
        <w:pStyle w:val="FirstParagraph"/>
      </w:pPr>
      <w:r>
        <w:t xml:space="preserve">In this scenario, investors can begin looking through near-term complexity toward coffee margin recovery, deleveraging, and the sum-of-the-parts potential of the two standalone businesses.</w:t>
      </w:r>
    </w:p>
    <w:bookmarkEnd w:id="27"/>
    <w:bookmarkStart w:id="28" w:name="base-case"/>
    <w:p>
      <w:pPr>
        <w:pStyle w:val="Heading3"/>
      </w:pPr>
      <w:r>
        <w:t xml:space="preserve">Base case</w:t>
      </w:r>
    </w:p>
    <w:p>
      <w:pPr>
        <w:pStyle w:val="Compact"/>
        <w:numPr>
          <w:ilvl w:val="0"/>
          <w:numId w:val="1016"/>
        </w:numPr>
      </w:pPr>
      <w:r>
        <w:t xml:space="preserve">Adjusted EPS of</w:t>
      </w:r>
      <w:r>
        <w:t xml:space="preserve"> </w:t>
      </w:r>
      <m:oMath>
        <m:r>
          <m:t>0.52</m:t>
        </m:r>
        <m:r>
          <m:rPr>
            <m:sty m:val="p"/>
          </m:rPr>
          <m:t>–</m:t>
        </m:r>
      </m:oMath>
      <w:r>
        <w:rPr>
          <w:b/>
          <w:bCs/>
        </w:rPr>
        <w:t xml:space="preserve">0.53</w:t>
      </w:r>
    </w:p>
    <w:p>
      <w:pPr>
        <w:pStyle w:val="Compact"/>
        <w:numPr>
          <w:ilvl w:val="0"/>
          <w:numId w:val="1016"/>
        </w:numPr>
      </w:pPr>
      <w:r>
        <w:t xml:space="preserve">Refreshment Beverages remains solid but moderates from Q1</w:t>
      </w:r>
    </w:p>
    <w:p>
      <w:pPr>
        <w:pStyle w:val="Compact"/>
        <w:numPr>
          <w:ilvl w:val="0"/>
          <w:numId w:val="1016"/>
        </w:numPr>
      </w:pPr>
      <w:r>
        <w:t xml:space="preserve">U.S. Coffee remains weak, though no worse than expected</w:t>
      </w:r>
    </w:p>
    <w:p>
      <w:pPr>
        <w:pStyle w:val="Compact"/>
        <w:numPr>
          <w:ilvl w:val="0"/>
          <w:numId w:val="1016"/>
        </w:numPr>
      </w:pPr>
      <w:r>
        <w:t xml:space="preserve">JDE Peet’s performs broadly in line</w:t>
      </w:r>
    </w:p>
    <w:p>
      <w:pPr>
        <w:pStyle w:val="Compact"/>
        <w:numPr>
          <w:ilvl w:val="0"/>
          <w:numId w:val="1016"/>
        </w:numPr>
      </w:pPr>
      <w:r>
        <w:t xml:space="preserve">Guidance is reiterated</w:t>
      </w:r>
    </w:p>
    <w:p>
      <w:pPr>
        <w:pStyle w:val="Compact"/>
        <w:numPr>
          <w:ilvl w:val="0"/>
          <w:numId w:val="1016"/>
        </w:numPr>
      </w:pPr>
      <w:r>
        <w:t xml:space="preserve">Management continues to promise a second-half acceleration without materially changing the bridge</w:t>
      </w:r>
    </w:p>
    <w:p>
      <w:pPr>
        <w:pStyle w:val="FirstParagraph"/>
      </w:pPr>
      <w:r>
        <w:t xml:space="preserve">This would likely preserve the thesis but may not be sufficient for a major rerating.</w:t>
      </w:r>
    </w:p>
    <w:bookmarkEnd w:id="28"/>
    <w:bookmarkStart w:id="29" w:name="bear-case"/>
    <w:p>
      <w:pPr>
        <w:pStyle w:val="Heading3"/>
      </w:pPr>
      <w:r>
        <w:t xml:space="preserve">Bear case</w:t>
      </w:r>
    </w:p>
    <w:p>
      <w:pPr>
        <w:pStyle w:val="Compact"/>
        <w:numPr>
          <w:ilvl w:val="0"/>
          <w:numId w:val="1017"/>
        </w:numPr>
      </w:pPr>
      <w:r>
        <w:t xml:space="preserve">Adjusted EPS below approximately</w:t>
      </w:r>
      <w:r>
        <w:t xml:space="preserve"> </w:t>
      </w:r>
      <w:r>
        <w:rPr>
          <w:b/>
          <w:bCs/>
        </w:rPr>
        <w:t xml:space="preserve">$0.52</w:t>
      </w:r>
    </w:p>
    <w:p>
      <w:pPr>
        <w:pStyle w:val="Compact"/>
        <w:numPr>
          <w:ilvl w:val="0"/>
          <w:numId w:val="1017"/>
        </w:numPr>
      </w:pPr>
      <w:r>
        <w:t xml:space="preserve">Refreshment Beverage volume or margins disappoint</w:t>
      </w:r>
    </w:p>
    <w:p>
      <w:pPr>
        <w:pStyle w:val="Compact"/>
        <w:numPr>
          <w:ilvl w:val="0"/>
          <w:numId w:val="1017"/>
        </w:numPr>
      </w:pPr>
      <w:r>
        <w:t xml:space="preserve">Coffee shipments remain disconnected from consumption</w:t>
      </w:r>
    </w:p>
    <w:p>
      <w:pPr>
        <w:pStyle w:val="Compact"/>
        <w:numPr>
          <w:ilvl w:val="0"/>
          <w:numId w:val="1017"/>
        </w:numPr>
      </w:pPr>
      <w:r>
        <w:t xml:space="preserve">JDE Peet’s profit falls below the implied acquisition plan</w:t>
      </w:r>
    </w:p>
    <w:p>
      <w:pPr>
        <w:pStyle w:val="Compact"/>
        <w:numPr>
          <w:ilvl w:val="0"/>
          <w:numId w:val="1017"/>
        </w:numPr>
      </w:pPr>
      <w:r>
        <w:t xml:space="preserve">Full-year EPS, free-cash-flow, or sales guidance is reduced</w:t>
      </w:r>
    </w:p>
    <w:p>
      <w:pPr>
        <w:pStyle w:val="Compact"/>
        <w:numPr>
          <w:ilvl w:val="0"/>
          <w:numId w:val="1017"/>
        </w:numPr>
      </w:pPr>
      <w:r>
        <w:t xml:space="preserve">Leverage exceeds plan or deleveraging is pushed out</w:t>
      </w:r>
    </w:p>
    <w:p>
      <w:pPr>
        <w:pStyle w:val="Compact"/>
        <w:numPr>
          <w:ilvl w:val="0"/>
          <w:numId w:val="1017"/>
        </w:numPr>
      </w:pPr>
      <w:r>
        <w:t xml:space="preserve">Separation timing becomes less certain</w:t>
      </w:r>
    </w:p>
    <w:p>
      <w:pPr>
        <w:pStyle w:val="Compact"/>
        <w:numPr>
          <w:ilvl w:val="0"/>
          <w:numId w:val="1017"/>
        </w:numPr>
      </w:pPr>
      <w:r>
        <w:t xml:space="preserve">Leadership disruption begins affecting integration milestones</w:t>
      </w:r>
    </w:p>
    <w:p>
      <w:pPr>
        <w:pStyle w:val="FirstParagraph"/>
      </w:pPr>
      <w:r>
        <w:t xml:space="preserve">The most damaging outcome would be a guide-down caused by coffee or JDE Peet’s rather than a discrete timing or FX issue. That would directly challenge the strategic and financial logic of the transaction.</w:t>
      </w:r>
    </w:p>
    <w:p>
      <w:r>
        <w:pict>
          <v:rect style="width:0;height:1.5pt" o:hralign="center" o:hrstd="t" o:hr="t"/>
        </w:pict>
      </w:r>
    </w:p>
    <w:bookmarkEnd w:id="29"/>
    <w:bookmarkEnd w:id="30"/>
    <w:bookmarkStart w:id="31" w:name="bottom-line"/>
    <w:p>
      <w:pPr>
        <w:pStyle w:val="Heading2"/>
      </w:pPr>
      <w:r>
        <w:t xml:space="preserve">Bottom line</w:t>
      </w:r>
    </w:p>
    <w:p>
      <w:pPr>
        <w:pStyle w:val="FirstParagraph"/>
      </w:pPr>
      <w:r>
        <w:t xml:space="preserve">KDP’s Q2 report is less about beating a quarterly EPS number than establishing that the enlarged company is under control.</w:t>
      </w:r>
    </w:p>
    <w:p>
      <w:pPr>
        <w:pStyle w:val="BodyText"/>
      </w:pPr>
      <w:r>
        <w:t xml:space="preserve">The minimum acceptable outcome is approximately</w:t>
      </w:r>
      <w:r>
        <w:t xml:space="preserve"> </w:t>
      </w:r>
      <m:oMath>
        <m:r>
          <m:t>0.52</m:t>
        </m:r>
        <m:r>
          <m:rPr>
            <m:sty m:val="p"/>
          </m:rPr>
          <m:t>–</m:t>
        </m:r>
      </m:oMath>
      <w:r>
        <w:rPr>
          <w:b/>
          <w:bCs/>
        </w:rPr>
        <w:t xml:space="preserve">0.53 of adjusted EPS</w:t>
      </w:r>
      <w:r>
        <w:t xml:space="preserve">, solid Refreshment Beverage execution, some moderation in U.S. Coffee’s profit decline, and an intact full-year outlook. The ingredients for a positive second half—lower coffee costs, normalization of shipments, JDE Peet’s accretion, and emerging synergies—must also remain visible.</w:t>
      </w:r>
    </w:p>
    <w:p>
      <w:pPr>
        <w:pStyle w:val="BodyText"/>
      </w:pPr>
      <w:r>
        <w:t xml:space="preserve">The upside case depends on management proving that the acquisition is adding earnings without undermining cash flow or delaying the separation. The downside case is that weak coffee economics, complex financing, elevated leverage, and leadership turnover combine to make the promised second-half acceleration less credible.</w:t>
      </w:r>
    </w:p>
    <w:p>
      <w:pPr>
        <w:pStyle w:val="BodyText"/>
      </w:pPr>
      <w:r>
        <w:rPr>
          <w:b/>
          <w:bCs/>
        </w:rPr>
        <w:t xml:space="preserve">Most important items, in order:</w:t>
      </w:r>
    </w:p>
    <w:p>
      <w:pPr>
        <w:pStyle w:val="Compact"/>
        <w:numPr>
          <w:ilvl w:val="0"/>
          <w:numId w:val="1018"/>
        </w:numPr>
      </w:pPr>
      <w:r>
        <w:t xml:space="preserve">Full-year EPS and free-cash-flow guidance</w:t>
      </w:r>
    </w:p>
    <w:p>
      <w:pPr>
        <w:pStyle w:val="Compact"/>
        <w:numPr>
          <w:ilvl w:val="0"/>
          <w:numId w:val="1018"/>
        </w:numPr>
      </w:pPr>
      <w:r>
        <w:t xml:space="preserve">U.S. Coffee margin trajectory</w:t>
      </w:r>
    </w:p>
    <w:p>
      <w:pPr>
        <w:pStyle w:val="Compact"/>
        <w:numPr>
          <w:ilvl w:val="0"/>
          <w:numId w:val="1018"/>
        </w:numPr>
      </w:pPr>
      <w:r>
        <w:t xml:space="preserve">JDE Peet’s underlying profit and synergy progress</w:t>
      </w:r>
    </w:p>
    <w:p>
      <w:pPr>
        <w:pStyle w:val="Compact"/>
        <w:numPr>
          <w:ilvl w:val="0"/>
          <w:numId w:val="1018"/>
        </w:numPr>
      </w:pPr>
      <w:r>
        <w:t xml:space="preserve">Refreshment Beverage organic volume and margins</w:t>
      </w:r>
    </w:p>
    <w:p>
      <w:pPr>
        <w:pStyle w:val="Compact"/>
        <w:numPr>
          <w:ilvl w:val="0"/>
          <w:numId w:val="1018"/>
        </w:numPr>
      </w:pPr>
      <w:r>
        <w:t xml:space="preserve">Leverage and deleveraging</w:t>
      </w:r>
    </w:p>
    <w:p>
      <w:pPr>
        <w:pStyle w:val="Compact"/>
        <w:numPr>
          <w:ilvl w:val="0"/>
          <w:numId w:val="1018"/>
        </w:numPr>
      </w:pPr>
      <w:r>
        <w:t xml:space="preserve">Separation timetable and Global Coffee CEO search</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2026-08-06T00:11:29Z</dcterms:created>
  <dcterms:modified xsi:type="dcterms:W3CDTF">2026-08-06T00:11:29Z</dcterms:modified>
</cp:coreProperties>
</file>

<file path=docProps/custom.xml><?xml version="1.0" encoding="utf-8"?>
<Properties xmlns="http://schemas.openxmlformats.org/officeDocument/2006/custom-properties" xmlns:vt="http://schemas.openxmlformats.org/officeDocument/2006/docPropsVTypes"/>
</file>