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189f5b881dd6e7573d0659dfd1bc64b7786085"/>
    <w:p>
      <w:pPr>
        <w:pStyle w:val="Heading1"/>
      </w:pPr>
      <w:r>
        <w:t xml:space="preserve">Keurig Dr Pepper (NASDAQ: KDP) — 2Q26 Earnings Preview</w:t>
      </w:r>
    </w:p>
    <w:p>
      <w:pPr>
        <w:pStyle w:val="BlockText"/>
      </w:pPr>
      <w:r>
        <w:rPr>
          <w:b/>
          <w:bCs/>
        </w:rPr>
        <w:t xml:space="preserve">Timing note:</w:t>
      </w:r>
      <w:r>
        <w:t xml:space="preserve"> </w:t>
      </w:r>
      <w:r>
        <w:t xml:space="preserve">KDP is scheduled to report</w:t>
      </w:r>
      <w:r>
        <w:t xml:space="preserve"> </w:t>
      </w:r>
      <w:r>
        <w:rPr>
          <w:b/>
          <w:bCs/>
        </w:rPr>
        <w:t xml:space="preserve">before the U.S. market opens today, Thursday, August 6, 2026</w:t>
      </w:r>
      <w:r>
        <w:t xml:space="preserve">, followed by an</w:t>
      </w:r>
      <w:r>
        <w:t xml:space="preserve"> </w:t>
      </w:r>
      <w:r>
        <w:rPr>
          <w:b/>
          <w:bCs/>
        </w:rPr>
        <w:t xml:space="preserve">8:00 a.m. ET</w:t>
      </w:r>
      <w:r>
        <w:t xml:space="preserve"> </w:t>
      </w:r>
      <w:r>
        <w:t xml:space="preserve">conference call—not tomorrow.</w:t>
      </w:r>
      <w:r>
        <w:br/>
      </w:r>
      <w:r>
        <w:rPr>
          <w:i/>
          <w:iCs/>
        </w:rPr>
        <w:t xml:space="preserve">Preview reflects information available through the August 5 close.</w:t>
      </w:r>
    </w:p>
    <w:bookmarkStart w:id="9" w:name="Xda6bb58154640092351ca697f146cf85c43131a"/>
    <w:p>
      <w:pPr>
        <w:pStyle w:val="Heading2"/>
      </w:pPr>
      <w:r>
        <w:t xml:space="preserve">Investment view: this is a guidance-and-execution quarter, not just a beat/miss</w:t>
      </w:r>
    </w:p>
    <w:p>
      <w:pPr>
        <w:pStyle w:val="FirstParagraph"/>
      </w:pPr>
      <w:r>
        <w:t xml:space="preserve">KDP’s second-quarter report is the first clean look at the</w:t>
      </w:r>
      <w:r>
        <w:t xml:space="preserve"> </w:t>
      </w:r>
      <w:r>
        <w:rPr>
          <w:b/>
          <w:bCs/>
        </w:rPr>
        <w:t xml:space="preserve">combined company</w:t>
      </w:r>
      <w:r>
        <w:t xml:space="preserve"> </w:t>
      </w:r>
      <w:r>
        <w:t xml:space="preserve">after the April 1 close of the JDE Peet’s acquisition. The headline numbers will be heavily affected by consolidation of JDE Peet’s, so investors should look past reported sales growth and focus on three questions:</w:t>
      </w:r>
    </w:p>
    <w:p>
      <w:pPr>
        <w:pStyle w:val="Compact"/>
        <w:numPr>
          <w:ilvl w:val="0"/>
          <w:numId w:val="1001"/>
        </w:numPr>
      </w:pPr>
      <w:r>
        <w:rPr>
          <w:b/>
          <w:bCs/>
        </w:rPr>
        <w:t xml:space="preserve">Is U.S. Refreshment Beverages still delivering outsized, quality growth?</w:t>
      </w:r>
    </w:p>
    <w:p>
      <w:pPr>
        <w:pStyle w:val="Compact"/>
        <w:numPr>
          <w:ilvl w:val="0"/>
          <w:numId w:val="1001"/>
        </w:numPr>
      </w:pPr>
      <w:r>
        <w:rPr>
          <w:b/>
          <w:bCs/>
        </w:rPr>
        <w:t xml:space="preserve">Is coffee following the expected path from first-half cost pressure to second-half recovery?</w:t>
      </w:r>
    </w:p>
    <w:p>
      <w:pPr>
        <w:pStyle w:val="Compact"/>
        <w:numPr>
          <w:ilvl w:val="0"/>
          <w:numId w:val="1001"/>
        </w:numPr>
      </w:pPr>
      <w:r>
        <w:rPr>
          <w:b/>
          <w:bCs/>
        </w:rPr>
        <w:t xml:space="preserve">Can management reaffirm its 2026 outlook while demonstrating control over JDE integration, leverage, and separation execution?</w:t>
      </w:r>
    </w:p>
    <w:p>
      <w:pPr>
        <w:pStyle w:val="FirstParagraph"/>
      </w:pPr>
      <w:r>
        <w:t xml:space="preserve">Street expectations appear to be approximately</w:t>
      </w:r>
      <w:r>
        <w:t xml:space="preserve"> </w:t>
      </w:r>
      <m:oMath>
        <m:r>
          <m:t>0.53</m:t>
        </m:r>
        <m:r>
          <m:t>o</m:t>
        </m:r>
        <m:r>
          <m:t>f</m:t>
        </m:r>
        <m:r>
          <m:t>E</m:t>
        </m:r>
        <m:r>
          <m:t>P</m:t>
        </m:r>
        <m:r>
          <m:t>S</m:t>
        </m:r>
        <m:r>
          <m:rPr>
            <m:sty m:val="p"/>
          </m:rPr>
          <m:t>*</m:t>
        </m:r>
        <m:r>
          <m:rPr>
            <m:sty m:val="p"/>
          </m:rPr>
          <m:t>*</m:t>
        </m:r>
        <m:r>
          <m:t>a</m:t>
        </m:r>
        <m:r>
          <m:t>n</m:t>
        </m:r>
        <m:r>
          <m:t>d</m:t>
        </m:r>
        <m:r>
          <m:rPr>
            <m:sty m:val="p"/>
          </m:rPr>
          <m:t>*</m:t>
        </m:r>
        <m:r>
          <m:rPr>
            <m:sty m:val="p"/>
          </m:rPr>
          <m:t>*</m:t>
        </m:r>
      </m:oMath>
      <w:r>
        <w:rPr>
          <w:b/>
          <w:bCs/>
        </w:rPr>
        <w:t xml:space="preserve">7.05 billion of revenue</w:t>
      </w:r>
      <w:r>
        <w:t xml:space="preserve">. The revenue comparison is not especially informative on its own: JDE Peet’s is now consolidated, making the quarter structurally different from the year-ago period.</w:t>
      </w:r>
    </w:p>
    <w:bookmarkEnd w:id="9"/>
    <w:bookmarkStart w:id="10" w:name="what-matters-most"/>
    <w:p>
      <w:pPr>
        <w:pStyle w:val="Heading2"/>
      </w:pPr>
      <w:r>
        <w:t xml:space="preserve">What matters most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Topic</w:t>
            </w:r>
          </w:p>
        </w:tc>
        <w:tc>
          <w:tcPr/>
          <w:p>
            <w:pPr>
              <w:pStyle w:val="Compact"/>
            </w:pPr>
            <w:r>
              <w:t xml:space="preserve">What KDP said in 1Q</w:t>
            </w:r>
          </w:p>
        </w:tc>
        <w:tc>
          <w:tcPr/>
          <w:p>
            <w:pPr>
              <w:pStyle w:val="Compact"/>
            </w:pPr>
            <w:r>
              <w:t xml:space="preserve">What investors need from 2Q</w:t>
            </w:r>
          </w:p>
        </w:tc>
      </w:tr>
      <w:tr>
        <w:tc>
          <w:tcPr/>
          <w:p>
            <w:pPr>
              <w:pStyle w:val="Compact"/>
            </w:pPr>
            <w:r>
              <w:rPr>
                <w:b/>
                <w:bCs/>
              </w:rPr>
              <w:t xml:space="preserve">Total-company EPS</w:t>
            </w:r>
          </w:p>
        </w:tc>
        <w:tc>
          <w:tcPr/>
          <w:p>
            <w:pPr>
              <w:pStyle w:val="Compact"/>
            </w:pPr>
            <w:r>
              <w:t xml:space="preserve">Guided to</w:t>
            </w:r>
            <w:r>
              <w:t xml:space="preserve"> </w:t>
            </w:r>
            <w:r>
              <w:rPr>
                <w:b/>
                <w:bCs/>
              </w:rPr>
              <w:t xml:space="preserve">high-single-digit EPS growth in 2Q</w:t>
            </w:r>
            <w:r>
              <w:t xml:space="preserve">, accelerating further in 2H</w:t>
            </w:r>
          </w:p>
        </w:tc>
        <w:tc>
          <w:tcPr/>
          <w:p>
            <w:pPr>
              <w:pStyle w:val="Compact"/>
            </w:pPr>
            <w:r>
              <w:t xml:space="preserve">Confirmation that earnings are tracking to this cadence, including the new JV and preferred-security charges</w:t>
            </w:r>
          </w:p>
        </w:tc>
      </w:tr>
      <w:tr>
        <w:tc>
          <w:tcPr/>
          <w:p>
            <w:pPr>
              <w:pStyle w:val="Compact"/>
            </w:pPr>
            <w:r>
              <w:rPr>
                <w:b/>
                <w:bCs/>
              </w:rPr>
              <w:t xml:space="preserve">U.S. Refreshment Beverages</w:t>
            </w:r>
          </w:p>
        </w:tc>
        <w:tc>
          <w:tcPr/>
          <w:p>
            <w:pPr>
              <w:pStyle w:val="Compact"/>
            </w:pPr>
            <w:r>
              <w:t xml:space="preserve">Strong double-digit 1Q sales and operating-income growth; some incremental GHOST distribution benefit</w:t>
            </w:r>
          </w:p>
        </w:tc>
        <w:tc>
          <w:tcPr/>
          <w:p>
            <w:pPr>
              <w:pStyle w:val="Compact"/>
            </w:pPr>
            <w:r>
              <w:t xml:space="preserve">Continued organic growth in Dr Pepper, Canada Dry, energy, hydration, and zero-sugar—not merely partner-brand comparisons</w:t>
            </w:r>
          </w:p>
        </w:tc>
      </w:tr>
      <w:tr>
        <w:tc>
          <w:tcPr/>
          <w:p>
            <w:pPr>
              <w:pStyle w:val="Compact"/>
            </w:pPr>
            <w:r>
              <w:rPr>
                <w:b/>
                <w:bCs/>
              </w:rPr>
              <w:t xml:space="preserve">U.S. Coffee</w:t>
            </w:r>
          </w:p>
        </w:tc>
        <w:tc>
          <w:tcPr/>
          <w:p>
            <w:pPr>
              <w:pStyle w:val="Compact"/>
            </w:pPr>
            <w:r>
              <w:t xml:space="preserve">1Q operating income fell 21%; higher green-coffee costs, tariffs, lower pod shipments, and marketing investment were headwinds</w:t>
            </w:r>
          </w:p>
        </w:tc>
        <w:tc>
          <w:tcPr/>
          <w:p>
            <w:pPr>
              <w:pStyle w:val="Compact"/>
            </w:pPr>
            <w:r>
              <w:t xml:space="preserve">Evidence that trade-inventory pressure is easing and that margins are bottoming ahead of a stronger 2H</w:t>
            </w:r>
          </w:p>
        </w:tc>
      </w:tr>
      <w:tr>
        <w:tc>
          <w:tcPr/>
          <w:p>
            <w:pPr>
              <w:pStyle w:val="Compact"/>
            </w:pPr>
            <w:r>
              <w:rPr>
                <w:b/>
                <w:bCs/>
              </w:rPr>
              <w:t xml:space="preserve">JDE Peet’s</w:t>
            </w:r>
          </w:p>
        </w:tc>
        <w:tc>
          <w:tcPr/>
          <w:p>
            <w:pPr>
              <w:pStyle w:val="Compact"/>
            </w:pPr>
            <w:r>
              <w:t xml:space="preserve">Expected a pressured first half from coffee costs but improvement later in 2026</w:t>
            </w:r>
          </w:p>
        </w:tc>
        <w:tc>
          <w:tcPr/>
          <w:p>
            <w:pPr>
              <w:pStyle w:val="Compact"/>
            </w:pPr>
            <w:r>
              <w:t xml:space="preserve">First evidence that underlying trends, integration plans, and synergy capture support the deal thesis</w:t>
            </w:r>
          </w:p>
        </w:tc>
      </w:tr>
      <w:tr>
        <w:tc>
          <w:tcPr/>
          <w:p>
            <w:pPr>
              <w:pStyle w:val="Compact"/>
            </w:pPr>
            <w:r>
              <w:rPr>
                <w:b/>
                <w:bCs/>
              </w:rPr>
              <w:t xml:space="preserve">International</w:t>
            </w:r>
          </w:p>
        </w:tc>
        <w:tc>
          <w:tcPr/>
          <w:p>
            <w:pPr>
              <w:pStyle w:val="Compact"/>
            </w:pPr>
            <w:r>
              <w:t xml:space="preserve">Pricing-led sales growth, but Mexico beverage-tax and cost pressure hurt profit</w:t>
            </w:r>
          </w:p>
        </w:tc>
        <w:tc>
          <w:tcPr/>
          <w:p>
            <w:pPr>
              <w:pStyle w:val="Compact"/>
            </w:pPr>
            <w:r>
              <w:t xml:space="preserve">Improved volume/mix and a clearer profit-recovery trajectory</w:t>
            </w:r>
          </w:p>
        </w:tc>
      </w:tr>
      <w:tr>
        <w:tc>
          <w:tcPr/>
          <w:p>
            <w:pPr>
              <w:pStyle w:val="Compact"/>
            </w:pPr>
            <w:r>
              <w:rPr>
                <w:b/>
                <w:bCs/>
              </w:rPr>
              <w:t xml:space="preserve">Balance sheet / separation</w:t>
            </w:r>
          </w:p>
        </w:tc>
        <w:tc>
          <w:tcPr/>
          <w:p>
            <w:pPr>
              <w:pStyle w:val="Compact"/>
            </w:pPr>
            <w:r>
              <w:t xml:space="preserve">Midyear net leverage expected near 4.5x; separation targeted for operational readiness by year-end</w:t>
            </w:r>
          </w:p>
        </w:tc>
        <w:tc>
          <w:tcPr/>
          <w:p>
            <w:pPr>
              <w:pStyle w:val="Compact"/>
            </w:pPr>
            <w:r>
              <w:t xml:space="preserve">Reaffirmation of deleveraging, investment-grade-rating commitment, and early-2027 separation timetable</w:t>
            </w:r>
          </w:p>
        </w:tc>
      </w:tr>
    </w:tbl>
    <w:bookmarkEnd w:id="10"/>
    <w:bookmarkStart w:id="13" w:name="X2df260cc36355aea3821ca1366c4d81db7cae07"/>
    <w:p>
      <w:pPr>
        <w:pStyle w:val="Heading2"/>
      </w:pPr>
      <w:r>
        <w:t xml:space="preserve">The central debate: coffee margins versus refreshment-beverage momentum</w:t>
      </w:r>
    </w:p>
    <w:bookmarkStart w:id="11" w:name="Xe11cd61d504752adf8e250263421230543aa486"/>
    <w:p>
      <w:pPr>
        <w:pStyle w:val="Heading3"/>
      </w:pPr>
      <w:r>
        <w:t xml:space="preserve">1. U.S. Refreshment Beverages should remain the offset</w:t>
      </w:r>
    </w:p>
    <w:p>
      <w:pPr>
        <w:pStyle w:val="FirstParagraph"/>
      </w:pPr>
      <w:r>
        <w:t xml:space="preserve">The legacy beverage business is the primary source of near-term quality. In 1Q, U.S. Refreshment Beverages generated</w:t>
      </w:r>
      <w:r>
        <w:t xml:space="preserve"> </w:t>
      </w:r>
      <w:r>
        <w:rPr>
          <w:b/>
          <w:bCs/>
        </w:rPr>
        <w:t xml:space="preserve">11.9% net-sales growth</w:t>
      </w:r>
      <w:r>
        <w:t xml:space="preserve"> </w:t>
      </w:r>
      <w:r>
        <w:t xml:space="preserve">and</w:t>
      </w:r>
      <w:r>
        <w:t xml:space="preserve"> </w:t>
      </w:r>
      <w:r>
        <w:rPr>
          <w:b/>
          <w:bCs/>
        </w:rPr>
        <w:t xml:space="preserve">9.8% operating-income growth</w:t>
      </w:r>
      <w:r>
        <w:t xml:space="preserve">, supported by Dr Pepper, Canada Dry, energy, sports hydration, and price realization.</w:t>
      </w:r>
    </w:p>
    <w:p>
      <w:pPr>
        <w:pStyle w:val="BodyText"/>
      </w:pPr>
      <w:r>
        <w:t xml:space="preserve">The key issue is</w:t>
      </w:r>
      <w:r>
        <w:t xml:space="preserve"> </w:t>
      </w:r>
      <w:r>
        <w:rPr>
          <w:b/>
          <w:bCs/>
        </w:rPr>
        <w:t xml:space="preserve">normalization</w:t>
      </w:r>
      <w:r>
        <w:t xml:space="preserve">. Management said 1Q benefited by “a couple of points” from incremental GHOST distribution compared with the prior year. That tailwind should fade, so investors will want proof that growth remains robust even as comparisons get harder.</w:t>
      </w:r>
    </w:p>
    <w:p>
      <w:pPr>
        <w:pStyle w:val="BodyText"/>
      </w:pPr>
      <w:r>
        <w:t xml:space="preserve">Key indicators:</w:t>
      </w:r>
    </w:p>
    <w:p>
      <w:pPr>
        <w:pStyle w:val="Compact"/>
        <w:numPr>
          <w:ilvl w:val="0"/>
          <w:numId w:val="1002"/>
        </w:numPr>
      </w:pPr>
      <w:r>
        <w:rPr>
          <w:b/>
          <w:bCs/>
        </w:rPr>
        <w:t xml:space="preserve">Dr Pepper:</w:t>
      </w:r>
      <w:r>
        <w:t xml:space="preserve"> </w:t>
      </w:r>
      <w:r>
        <w:t xml:space="preserve">Core regular, Diet, and Zero Sugar trends; contribution from Creamy Coconut; ongoing distribution and display gains.</w:t>
      </w:r>
    </w:p>
    <w:p>
      <w:pPr>
        <w:pStyle w:val="Compact"/>
        <w:numPr>
          <w:ilvl w:val="0"/>
          <w:numId w:val="1002"/>
        </w:numPr>
      </w:pPr>
      <w:r>
        <w:rPr>
          <w:b/>
          <w:bCs/>
        </w:rPr>
        <w:t xml:space="preserve">Energy:</w:t>
      </w:r>
      <w:r>
        <w:t xml:space="preserve"> </w:t>
      </w:r>
      <w:r>
        <w:t xml:space="preserve">GHOST and Bloom distribution gains, retail velocities, and evidence that C4 stabilization offsets portfolio rationalization.</w:t>
      </w:r>
    </w:p>
    <w:p>
      <w:pPr>
        <w:pStyle w:val="Compact"/>
        <w:numPr>
          <w:ilvl w:val="0"/>
          <w:numId w:val="1002"/>
        </w:numPr>
      </w:pPr>
      <w:r>
        <w:rPr>
          <w:b/>
          <w:bCs/>
        </w:rPr>
        <w:t xml:space="preserve">Sports hydration / Electrolit:</w:t>
      </w:r>
      <w:r>
        <w:t xml:space="preserve"> </w:t>
      </w:r>
      <w:r>
        <w:t xml:space="preserve">Distribution and velocity progression.</w:t>
      </w:r>
    </w:p>
    <w:p>
      <w:pPr>
        <w:pStyle w:val="Compact"/>
        <w:numPr>
          <w:ilvl w:val="0"/>
          <w:numId w:val="1002"/>
        </w:numPr>
      </w:pPr>
      <w:r>
        <w:rPr>
          <w:b/>
          <w:bCs/>
        </w:rPr>
        <w:t xml:space="preserve">Price-pack architecture:</w:t>
      </w:r>
      <w:r>
        <w:t xml:space="preserve"> </w:t>
      </w:r>
      <w:r>
        <w:t xml:space="preserve">Whether affordability initiatives protect volume without compromising net-price realization.</w:t>
      </w:r>
    </w:p>
    <w:p>
      <w:pPr>
        <w:pStyle w:val="Compact"/>
        <w:numPr>
          <w:ilvl w:val="0"/>
          <w:numId w:val="1002"/>
        </w:numPr>
      </w:pPr>
      <w:r>
        <w:rPr>
          <w:b/>
          <w:bCs/>
        </w:rPr>
        <w:t xml:space="preserve">Margins:</w:t>
      </w:r>
      <w:r>
        <w:t xml:space="preserve"> </w:t>
      </w:r>
      <w:r>
        <w:t xml:space="preserve">Whether marketing investment and commodity exposure remain manageable while the segment grows.</w:t>
      </w:r>
    </w:p>
    <w:p>
      <w:pPr>
        <w:pStyle w:val="FirstParagraph"/>
      </w:pPr>
      <w:r>
        <w:t xml:space="preserve">A result showing solid volume/mix, not just pricing, would reinforce the argument that Beverage Co. can be a durable stand-alone growth asset after the planned separation.</w:t>
      </w:r>
    </w:p>
    <w:bookmarkEnd w:id="11"/>
    <w:bookmarkStart w:id="12" w:name="X2a80176b43f75c6b9ac3afd9d67e3d99d128045"/>
    <w:p>
      <w:pPr>
        <w:pStyle w:val="Heading3"/>
      </w:pPr>
      <w:r>
        <w:t xml:space="preserve">2. U.S. Coffee is expected to be weak—but needs to be</w:t>
      </w:r>
      <w:r>
        <w:t xml:space="preserve"> </w:t>
      </w:r>
      <w:r>
        <w:rPr>
          <w:i/>
          <w:iCs/>
        </w:rPr>
        <w:t xml:space="preserve">less weak</w:t>
      </w:r>
    </w:p>
    <w:p>
      <w:pPr>
        <w:pStyle w:val="FirstParagraph"/>
      </w:pPr>
      <w:r>
        <w:t xml:space="preserve">KDP explicitly characterized 1Q as the trough for coffee profitability. U.S. Coffee sales declined</w:t>
      </w:r>
      <w:r>
        <w:t xml:space="preserve"> </w:t>
      </w:r>
      <w:r>
        <w:rPr>
          <w:b/>
          <w:bCs/>
        </w:rPr>
        <w:t xml:space="preserve">2.3%</w:t>
      </w:r>
      <w:r>
        <w:t xml:space="preserve">, while segment operating income fell</w:t>
      </w:r>
      <w:r>
        <w:t xml:space="preserve"> </w:t>
      </w:r>
      <w:r>
        <w:rPr>
          <w:b/>
          <w:bCs/>
        </w:rPr>
        <w:t xml:space="preserve">21.3%</w:t>
      </w:r>
      <w:r>
        <w:t xml:space="preserve">, driven by:</w:t>
      </w:r>
    </w:p>
    <w:p>
      <w:pPr>
        <w:pStyle w:val="Compact"/>
        <w:numPr>
          <w:ilvl w:val="0"/>
          <w:numId w:val="1003"/>
        </w:numPr>
      </w:pPr>
      <w:r>
        <w:t xml:space="preserve">Higher green-coffee hedge costs flowing through the P&amp;L;</w:t>
      </w:r>
    </w:p>
    <w:p>
      <w:pPr>
        <w:pStyle w:val="Compact"/>
        <w:numPr>
          <w:ilvl w:val="0"/>
          <w:numId w:val="1003"/>
        </w:numPr>
      </w:pPr>
      <w:r>
        <w:t xml:space="preserve">Tariffs;</w:t>
      </w:r>
    </w:p>
    <w:p>
      <w:pPr>
        <w:pStyle w:val="Compact"/>
        <w:numPr>
          <w:ilvl w:val="0"/>
          <w:numId w:val="1003"/>
        </w:numPr>
      </w:pPr>
      <w:r>
        <w:t xml:space="preserve">A 7% decline in pod shipments due partly to trade-inventory adjustments;</w:t>
      </w:r>
    </w:p>
    <w:p>
      <w:pPr>
        <w:pStyle w:val="Compact"/>
        <w:numPr>
          <w:ilvl w:val="0"/>
          <w:numId w:val="1003"/>
        </w:numPr>
      </w:pPr>
      <w:r>
        <w:t xml:space="preserve">Higher brand and innovation investment.</w:t>
      </w:r>
    </w:p>
    <w:p>
      <w:pPr>
        <w:pStyle w:val="FirstParagraph"/>
      </w:pPr>
      <w:r>
        <w:t xml:space="preserve">Management’s message was that pressure should ease modestly in 2Q and improve more meaningfully in the second half as costs roll over and inventory dynamics normalize.</w:t>
      </w:r>
    </w:p>
    <w:p>
      <w:pPr>
        <w:pStyle w:val="BodyText"/>
      </w:pPr>
      <w:r>
        <w:t xml:space="preserve">The most important 2Q coffee metrics are therefore:</w:t>
      </w:r>
    </w:p>
    <w:p>
      <w:pPr>
        <w:pStyle w:val="Compact"/>
        <w:numPr>
          <w:ilvl w:val="0"/>
          <w:numId w:val="1004"/>
        </w:numPr>
      </w:pPr>
      <w:r>
        <w:rPr>
          <w:b/>
          <w:bCs/>
        </w:rPr>
        <w:t xml:space="preserve">Pod shipments versus retail sell-through:</w:t>
      </w:r>
      <w:r>
        <w:t xml:space="preserve"> </w:t>
      </w:r>
      <w:r>
        <w:t xml:space="preserve">A smaller gap would validate the “temporary inventory adjustment” explanation.</w:t>
      </w:r>
    </w:p>
    <w:p>
      <w:pPr>
        <w:pStyle w:val="Compact"/>
        <w:numPr>
          <w:ilvl w:val="0"/>
          <w:numId w:val="1004"/>
        </w:numPr>
      </w:pPr>
      <w:r>
        <w:rPr>
          <w:b/>
          <w:bCs/>
        </w:rPr>
        <w:t xml:space="preserve">Net price realization versus volume/mix:</w:t>
      </w:r>
      <w:r>
        <w:t xml:space="preserve"> </w:t>
      </w:r>
      <w:r>
        <w:t xml:space="preserve">Investors want manageable elasticity after prior price increases.</w:t>
      </w:r>
    </w:p>
    <w:p>
      <w:pPr>
        <w:pStyle w:val="Compact"/>
        <w:numPr>
          <w:ilvl w:val="0"/>
          <w:numId w:val="1004"/>
        </w:numPr>
      </w:pPr>
      <w:r>
        <w:rPr>
          <w:b/>
          <w:bCs/>
        </w:rPr>
        <w:t xml:space="preserve">Gross-margin trajectory:</w:t>
      </w:r>
      <w:r>
        <w:t xml:space="preserve"> </w:t>
      </w:r>
      <w:r>
        <w:t xml:space="preserve">KDP has said green coffee costs lag spot prices by roughly six to nine months; the quarter should show whether the trough is indeed passing.</w:t>
      </w:r>
    </w:p>
    <w:p>
      <w:pPr>
        <w:pStyle w:val="Compact"/>
        <w:numPr>
          <w:ilvl w:val="0"/>
          <w:numId w:val="1004"/>
        </w:numPr>
      </w:pPr>
      <w:r>
        <w:rPr>
          <w:b/>
          <w:bCs/>
        </w:rPr>
        <w:t xml:space="preserve">Brewer trends:</w:t>
      </w:r>
      <w:r>
        <w:t xml:space="preserve"> </w:t>
      </w:r>
      <w:r>
        <w:t xml:space="preserve">High-single-digit brewer shipment declines in 1Q reflected elasticity and inventory pressure. A stabilization would be constructive.</w:t>
      </w:r>
    </w:p>
    <w:p>
      <w:pPr>
        <w:pStyle w:val="Compact"/>
        <w:numPr>
          <w:ilvl w:val="0"/>
          <w:numId w:val="1004"/>
        </w:numPr>
      </w:pPr>
      <w:r>
        <w:rPr>
          <w:b/>
          <w:bCs/>
        </w:rPr>
        <w:t xml:space="preserve">Innovation:</w:t>
      </w:r>
      <w:r>
        <w:t xml:space="preserve"> </w:t>
      </w:r>
      <w:r>
        <w:t xml:space="preserve">Early retailer and consumer response to Keurig Coffee Collective, premium licensed brands such as Lavazza, and the planned late-2026 Keurig Alta launch.</w:t>
      </w:r>
    </w:p>
    <w:p>
      <w:pPr>
        <w:pStyle w:val="FirstParagraph"/>
      </w:pPr>
      <w:r>
        <w:t xml:space="preserve">The bar is not for U.S. Coffee to deliver strong year-over-year profit growth in 2Q. The bar is for KDP to show that the bridge to a better 2H remains intact.</w:t>
      </w:r>
    </w:p>
    <w:bookmarkEnd w:id="12"/>
    <w:bookmarkEnd w:id="13"/>
    <w:bookmarkStart w:id="14" w:name="X9a89a32b7daea388239ceda67790d9b467e0709"/>
    <w:p>
      <w:pPr>
        <w:pStyle w:val="Heading2"/>
      </w:pPr>
      <w:r>
        <w:t xml:space="preserve">JDE Peet’s: the first full-quarter test of the acquisition thesis</w:t>
      </w:r>
    </w:p>
    <w:p>
      <w:pPr>
        <w:pStyle w:val="FirstParagraph"/>
      </w:pPr>
      <w:r>
        <w:t xml:space="preserve">JDE Peet’s closed on</w:t>
      </w:r>
      <w:r>
        <w:t xml:space="preserve"> </w:t>
      </w:r>
      <w:r>
        <w:rPr>
          <w:b/>
          <w:bCs/>
        </w:rPr>
        <w:t xml:space="preserve">April 1, 2026</w:t>
      </w:r>
      <w:r>
        <w:t xml:space="preserve">, making 2Q the first full quarter of ownership. This quarter should clarify how much of the acquisition is a near-term earnings burden versus a credible strategic and financial opportunity.</w:t>
      </w:r>
    </w:p>
    <w:p>
      <w:pPr>
        <w:pStyle w:val="BodyText"/>
      </w:pPr>
      <w:r>
        <w:t xml:space="preserve">Management has framed the combination around:</w:t>
      </w:r>
    </w:p>
    <w:p>
      <w:pPr>
        <w:pStyle w:val="Compact"/>
        <w:numPr>
          <w:ilvl w:val="0"/>
          <w:numId w:val="1005"/>
        </w:numPr>
      </w:pPr>
      <w:r>
        <w:rPr>
          <w:b/>
          <w:bCs/>
        </w:rPr>
        <w:t xml:space="preserve">$400 million of expected synergies</w:t>
      </w:r>
      <w:r>
        <w:t xml:space="preserve">;</w:t>
      </w:r>
    </w:p>
    <w:p>
      <w:pPr>
        <w:pStyle w:val="Compact"/>
        <w:numPr>
          <w:ilvl w:val="0"/>
          <w:numId w:val="1005"/>
        </w:numPr>
      </w:pPr>
      <w:r>
        <w:t xml:space="preserve">Expanded global coffee scale and capabilities;</w:t>
      </w:r>
    </w:p>
    <w:p>
      <w:pPr>
        <w:pStyle w:val="Compact"/>
        <w:numPr>
          <w:ilvl w:val="0"/>
          <w:numId w:val="1005"/>
        </w:numPr>
      </w:pPr>
      <w:r>
        <w:t xml:space="preserve">North American revenue opportunities, particularly across Keurig and Peet’s;</w:t>
      </w:r>
    </w:p>
    <w:p>
      <w:pPr>
        <w:pStyle w:val="Compact"/>
        <w:numPr>
          <w:ilvl w:val="0"/>
          <w:numId w:val="1005"/>
        </w:numPr>
      </w:pPr>
      <w:r>
        <w:t xml:space="preserve">A planned split into</w:t>
      </w:r>
      <w:r>
        <w:t xml:space="preserve"> </w:t>
      </w:r>
      <w:r>
        <w:rPr>
          <w:b/>
          <w:bCs/>
        </w:rPr>
        <w:t xml:space="preserve">Beverage Co.</w:t>
      </w:r>
      <w:r>
        <w:t xml:space="preserve"> </w:t>
      </w:r>
      <w:r>
        <w:t xml:space="preserve">and</w:t>
      </w:r>
      <w:r>
        <w:t xml:space="preserve"> </w:t>
      </w:r>
      <w:r>
        <w:rPr>
          <w:b/>
          <w:bCs/>
        </w:rPr>
        <w:t xml:space="preserve">Global Coffee Co.</w:t>
      </w:r>
    </w:p>
    <w:p>
      <w:pPr>
        <w:pStyle w:val="FirstParagraph"/>
      </w:pPr>
      <w:r>
        <w:t xml:space="preserve">For 2026, KDP guided to:</w:t>
      </w:r>
    </w:p>
    <w:p>
      <w:pPr>
        <w:pStyle w:val="Compact"/>
        <w:numPr>
          <w:ilvl w:val="0"/>
          <w:numId w:val="1006"/>
        </w:numPr>
      </w:pPr>
      <m:oMath>
        <m:r>
          <m:t>25.9</m:t>
        </m:r>
        <m:r>
          <m:t>b</m:t>
        </m:r>
        <m:r>
          <m:t>i</m:t>
        </m:r>
        <m:r>
          <m:t>l</m:t>
        </m:r>
        <m:r>
          <m:t>l</m:t>
        </m:r>
        <m:r>
          <m:t>i</m:t>
        </m:r>
        <m:r>
          <m:t>o</m:t>
        </m:r>
        <m:r>
          <m:t>n</m:t>
        </m:r>
        <m:r>
          <m:rPr>
            <m:sty m:val="p"/>
          </m:rPr>
          <m:t>–</m:t>
        </m:r>
      </m:oMath>
      <w:r>
        <w:rPr>
          <w:b/>
          <w:bCs/>
        </w:rPr>
        <w:t xml:space="preserve">26.4 billion</w:t>
      </w:r>
      <w:r>
        <w:t xml:space="preserve"> </w:t>
      </w:r>
      <w:r>
        <w:t xml:space="preserve">of total-company sales;</w:t>
      </w:r>
    </w:p>
    <w:p>
      <w:pPr>
        <w:pStyle w:val="Compact"/>
        <w:numPr>
          <w:ilvl w:val="0"/>
          <w:numId w:val="1006"/>
        </w:numPr>
      </w:pPr>
      <m:oMath>
        <m:r>
          <m:t>8.5</m:t>
        </m:r>
        <m:r>
          <m:t>b</m:t>
        </m:r>
        <m:r>
          <m:t>i</m:t>
        </m:r>
        <m:r>
          <m:t>l</m:t>
        </m:r>
        <m:r>
          <m:t>l</m:t>
        </m:r>
        <m:r>
          <m:t>i</m:t>
        </m:r>
        <m:r>
          <m:t>o</m:t>
        </m:r>
        <m:r>
          <m:t>n</m:t>
        </m:r>
        <m:r>
          <m:rPr>
            <m:sty m:val="p"/>
          </m:rPr>
          <m:t>–</m:t>
        </m:r>
      </m:oMath>
      <w:r>
        <w:rPr>
          <w:b/>
          <w:bCs/>
        </w:rPr>
        <w:t xml:space="preserve">8.7 billion</w:t>
      </w:r>
      <w:r>
        <w:t xml:space="preserve"> </w:t>
      </w:r>
      <w:r>
        <w:t xml:space="preserve">of JDE Peet’s sales contribution;</w:t>
      </w:r>
    </w:p>
    <w:p>
      <w:pPr>
        <w:pStyle w:val="Compact"/>
        <w:numPr>
          <w:ilvl w:val="0"/>
          <w:numId w:val="1006"/>
        </w:numPr>
      </w:pPr>
      <w:r>
        <w:rPr>
          <w:b/>
          <w:bCs/>
        </w:rPr>
        <w:t xml:space="preserve">Low-double-digit EPS growth</w:t>
      </w:r>
      <w:r>
        <w:t xml:space="preserve"> </w:t>
      </w:r>
      <w:r>
        <w:t xml:space="preserve">in constant currency, including a</w:t>
      </w:r>
      <w:r>
        <w:t xml:space="preserve"> </w:t>
      </w:r>
      <w:r>
        <w:rPr>
          <w:b/>
          <w:bCs/>
        </w:rPr>
        <w:t xml:space="preserve">6–7 percentage-point</w:t>
      </w:r>
      <w:r>
        <w:t xml:space="preserve"> </w:t>
      </w:r>
      <w:r>
        <w:t xml:space="preserve">contribution from JDE Peet’s;</w:t>
      </w:r>
    </w:p>
    <w:p>
      <w:pPr>
        <w:pStyle w:val="Compact"/>
        <w:numPr>
          <w:ilvl w:val="0"/>
          <w:numId w:val="1006"/>
        </w:numPr>
      </w:pPr>
      <w:r>
        <w:t xml:space="preserve">Approximately</w:t>
      </w:r>
      <w:r>
        <w:t xml:space="preserve"> </w:t>
      </w:r>
      <w:r>
        <w:rPr>
          <w:b/>
          <w:bCs/>
        </w:rPr>
        <w:t xml:space="preserve">$2.5 billion</w:t>
      </w:r>
      <w:r>
        <w:t xml:space="preserve"> </w:t>
      </w:r>
      <w:r>
        <w:t xml:space="preserve">of aggregate free cash flow.</w:t>
      </w:r>
    </w:p>
    <w:p>
      <w:pPr>
        <w:pStyle w:val="FirstParagraph"/>
      </w:pPr>
      <w:r>
        <w:t xml:space="preserve">Investors should expect JDE Peet’s first-half profitability to be affected by the same elevated coffee-cost timing that pressured legacy U.S. Coffee. The more important question is whether management’s commentary still supports a second-half improvement and confirms the synergy target.</w:t>
      </w:r>
    </w:p>
    <w:bookmarkEnd w:id="14"/>
    <w:bookmarkStart w:id="15" w:name="Xebab5b37f07cd6e76aa78bdc616756e50a50fe3"/>
    <w:p>
      <w:pPr>
        <w:pStyle w:val="Heading2"/>
      </w:pPr>
      <w:r>
        <w:t xml:space="preserve">Below-the-line items may matter more than usual</w:t>
      </w:r>
    </w:p>
    <w:p>
      <w:pPr>
        <w:pStyle w:val="FirstParagraph"/>
      </w:pPr>
      <w:r>
        <w:t xml:space="preserve">The post-deal capital structure adds complexity to EPS interpretation. Beginning in 2Q, KDP expects:</w:t>
      </w:r>
    </w:p>
    <w:p>
      <w:pPr>
        <w:pStyle w:val="Compact"/>
        <w:numPr>
          <w:ilvl w:val="0"/>
          <w:numId w:val="1007"/>
        </w:numPr>
      </w:pPr>
      <w:r>
        <w:t xml:space="preserve">Roughly</w:t>
      </w:r>
      <w:r>
        <w:t xml:space="preserve"> </w:t>
      </w:r>
      <w:r>
        <w:rPr>
          <w:b/>
          <w:bCs/>
        </w:rPr>
        <w:t xml:space="preserve">$190 million of pretax Coffee JV costs</w:t>
      </w:r>
      <w:r>
        <w:t xml:space="preserve"> </w:t>
      </w:r>
      <w:r>
        <w:t xml:space="preserve">for 2026, reflected through noncontrolling interest;</w:t>
      </w:r>
    </w:p>
    <w:p>
      <w:pPr>
        <w:pStyle w:val="Compact"/>
        <w:numPr>
          <w:ilvl w:val="0"/>
          <w:numId w:val="1007"/>
        </w:numPr>
      </w:pPr>
      <w:r>
        <w:t xml:space="preserve">Costs related to the</w:t>
      </w:r>
      <w:r>
        <w:t xml:space="preserve"> </w:t>
      </w:r>
      <w:r>
        <w:rPr>
          <w:b/>
          <w:bCs/>
        </w:rPr>
        <w:t xml:space="preserve">$4.5 billion convertible preferred security</w:t>
      </w:r>
      <w:r>
        <w:t xml:space="preserve">, with the annual economics determined by the greater of its preferred dividend or an approximately 8% share of earnings;</w:t>
      </w:r>
    </w:p>
    <w:p>
      <w:pPr>
        <w:pStyle w:val="Compact"/>
        <w:numPr>
          <w:ilvl w:val="0"/>
          <w:numId w:val="1007"/>
        </w:numPr>
      </w:pPr>
      <w:r>
        <w:t xml:space="preserve">Full-year interest expense of approximately</w:t>
      </w:r>
      <w:r>
        <w:t xml:space="preserve"> </w:t>
      </w:r>
      <m:oMath>
        <m:r>
          <m:t>1.13</m:t>
        </m:r>
        <m:r>
          <m:t>b</m:t>
        </m:r>
        <m:r>
          <m:t>i</m:t>
        </m:r>
        <m:r>
          <m:t>l</m:t>
        </m:r>
        <m:r>
          <m:t>l</m:t>
        </m:r>
        <m:r>
          <m:t>i</m:t>
        </m:r>
        <m:r>
          <m:t>o</m:t>
        </m:r>
        <m:r>
          <m:t>n</m:t>
        </m:r>
        <m:r>
          <m:rPr>
            <m:sty m:val="p"/>
          </m:rPr>
          <m:t>–</m:t>
        </m:r>
      </m:oMath>
      <w:r>
        <w:rPr>
          <w:b/>
          <w:bCs/>
        </w:rPr>
        <w:t xml:space="preserve">1.16 billion</w:t>
      </w:r>
      <w:r>
        <w:t xml:space="preserve">;</w:t>
      </w:r>
    </w:p>
    <w:p>
      <w:pPr>
        <w:pStyle w:val="Compact"/>
        <w:numPr>
          <w:ilvl w:val="0"/>
          <w:numId w:val="1007"/>
        </w:numPr>
      </w:pPr>
      <w:r>
        <w:t xml:space="preserve">An approximately</w:t>
      </w:r>
      <w:r>
        <w:t xml:space="preserve"> </w:t>
      </w:r>
      <w:r>
        <w:rPr>
          <w:b/>
          <w:bCs/>
        </w:rPr>
        <w:t xml:space="preserve">22% effective tax rate</w:t>
      </w:r>
      <w:r>
        <w:t xml:space="preserve">;</w:t>
      </w:r>
    </w:p>
    <w:p>
      <w:pPr>
        <w:pStyle w:val="Compact"/>
        <w:numPr>
          <w:ilvl w:val="0"/>
          <w:numId w:val="1007"/>
        </w:numPr>
      </w:pPr>
      <w:r>
        <w:t xml:space="preserve">About</w:t>
      </w:r>
      <w:r>
        <w:t xml:space="preserve"> </w:t>
      </w:r>
      <w:r>
        <w:rPr>
          <w:b/>
          <w:bCs/>
        </w:rPr>
        <w:t xml:space="preserve">1.37 billion diluted weighted-average shares</w:t>
      </w:r>
      <w:r>
        <w:t xml:space="preserve">.</w:t>
      </w:r>
    </w:p>
    <w:p>
      <w:pPr>
        <w:pStyle w:val="FirstParagraph"/>
      </w:pPr>
      <w:r>
        <w:t xml:space="preserve">Accordingly, investors should pay attention to adjusted EPS definitions, noncontrolling-interest attribution, interest expense, and free-cash-flow conversion—not simply operating income.</w:t>
      </w:r>
    </w:p>
    <w:bookmarkEnd w:id="15"/>
    <w:bookmarkStart w:id="16" w:name="guidance-is-the-likely-stock-catalyst"/>
    <w:p>
      <w:pPr>
        <w:pStyle w:val="Heading2"/>
      </w:pPr>
      <w:r>
        <w:t xml:space="preserve">Guidance is the likely stock catalyst</w:t>
      </w:r>
    </w:p>
    <w:p>
      <w:pPr>
        <w:pStyle w:val="FirstParagraph"/>
      </w:pPr>
      <w:r>
        <w:t xml:space="preserve">KDP reaffirmed its full-year outlook after 1Q. A second reaffirmation would be meaningful because it would signal confidence in:</w:t>
      </w:r>
    </w:p>
    <w:p>
      <w:pPr>
        <w:pStyle w:val="Compact"/>
        <w:numPr>
          <w:ilvl w:val="0"/>
          <w:numId w:val="1008"/>
        </w:numPr>
      </w:pPr>
      <w:r>
        <w:t xml:space="preserve">A coffee-margin recovery in the back half;</w:t>
      </w:r>
    </w:p>
    <w:p>
      <w:pPr>
        <w:pStyle w:val="Compact"/>
        <w:numPr>
          <w:ilvl w:val="0"/>
          <w:numId w:val="1008"/>
        </w:numPr>
      </w:pPr>
      <w:r>
        <w:t xml:space="preserve">JDE Peet’s integration and synergy capture;</w:t>
      </w:r>
    </w:p>
    <w:p>
      <w:pPr>
        <w:pStyle w:val="Compact"/>
        <w:numPr>
          <w:ilvl w:val="0"/>
          <w:numId w:val="1008"/>
        </w:numPr>
      </w:pPr>
      <w:r>
        <w:t xml:space="preserve">Continued U.S. Refreshment Beverage growth;</w:t>
      </w:r>
    </w:p>
    <w:p>
      <w:pPr>
        <w:pStyle w:val="Compact"/>
        <w:numPr>
          <w:ilvl w:val="0"/>
          <w:numId w:val="1008"/>
        </w:numPr>
      </w:pPr>
      <w:r>
        <w:t xml:space="preserve">Deleveraging through cash generation rather than major asset sales;</w:t>
      </w:r>
    </w:p>
    <w:p>
      <w:pPr>
        <w:pStyle w:val="Compact"/>
        <w:numPr>
          <w:ilvl w:val="0"/>
          <w:numId w:val="1008"/>
        </w:numPr>
      </w:pPr>
      <w:r>
        <w:t xml:space="preserve">Separation readiness by the end of 2026, with formal separation expected in early 2027, subject to market conditions.</w:t>
      </w:r>
    </w:p>
    <w:p>
      <w:pPr>
        <w:pStyle w:val="FirstParagraph"/>
      </w:pPr>
      <w:r>
        <w:t xml:space="preserve">Conversely, any reduction in EPS guidance—or even a more qualified view on the back-half coffee recovery—would likely overshadow a modest quarterly beat.</w:t>
      </w:r>
    </w:p>
    <w:bookmarkEnd w:id="16"/>
    <w:bookmarkStart w:id="17" w:name="stock-setup"/>
    <w:p>
      <w:pPr>
        <w:pStyle w:val="Heading2"/>
      </w:pPr>
      <w:r>
        <w:t xml:space="preserve">Stock setup</w:t>
      </w:r>
    </w:p>
    <w:p>
      <w:pPr>
        <w:pStyle w:val="FirstParagraph"/>
      </w:pPr>
      <w:r>
        <w:t xml:space="preserve">KDP closed August 5 at</w:t>
      </w:r>
      <w:r>
        <w:t xml:space="preserve"> </w:t>
      </w:r>
      <w:r>
        <w:rPr>
          <w:b/>
          <w:bCs/>
        </w:rPr>
        <w:t xml:space="preserve">$30.77</w:t>
      </w:r>
      <w:r>
        <w:t xml:space="preserve">, up roughly</w:t>
      </w:r>
      <w:r>
        <w:t xml:space="preserve"> </w:t>
      </w:r>
      <w:r>
        <w:rPr>
          <w:b/>
          <w:bCs/>
        </w:rPr>
        <w:t xml:space="preserve">11% year to date</w:t>
      </w:r>
      <w:r>
        <w:t xml:space="preserve"> </w:t>
      </w:r>
      <w:r>
        <w:t xml:space="preserve">but about</w:t>
      </w:r>
      <w:r>
        <w:t xml:space="preserve"> </w:t>
      </w:r>
      <w:r>
        <w:rPr>
          <w:b/>
          <w:bCs/>
        </w:rPr>
        <w:t xml:space="preserve">8% below</w:t>
      </w:r>
      <w:r>
        <w:t xml:space="preserve"> </w:t>
      </w:r>
      <w:r>
        <w:t xml:space="preserve">its late-June closing high. That setup suggests investors recognize the long-term strategic opportunity, but still want confirmation that the acquisition financing, coffee-cost cycle, and separation plan will not impair near-term execution.</w:t>
      </w:r>
    </w:p>
    <w:bookmarkEnd w:id="17"/>
    <w:bookmarkStart w:id="18" w:name="what-would-be-bullish"/>
    <w:p>
      <w:pPr>
        <w:pStyle w:val="Heading2"/>
      </w:pPr>
      <w:r>
        <w:t xml:space="preserve">What would be bullish?</w:t>
      </w:r>
    </w:p>
    <w:p>
      <w:pPr>
        <w:pStyle w:val="Compact"/>
        <w:numPr>
          <w:ilvl w:val="0"/>
          <w:numId w:val="1009"/>
        </w:numPr>
      </w:pPr>
      <w:r>
        <w:t xml:space="preserve">Reaffirmed full-year sales, EPS, free-cash-flow, and deleveraging outlook;</w:t>
      </w:r>
    </w:p>
    <w:p>
      <w:pPr>
        <w:pStyle w:val="Compact"/>
        <w:numPr>
          <w:ilvl w:val="0"/>
          <w:numId w:val="1009"/>
        </w:numPr>
      </w:pPr>
      <w:r>
        <w:t xml:space="preserve">U.S. Refreshment Beverage growth remains strong after adjusting for prior GHOST distribution benefits;</w:t>
      </w:r>
    </w:p>
    <w:p>
      <w:pPr>
        <w:pStyle w:val="Compact"/>
        <w:numPr>
          <w:ilvl w:val="0"/>
          <w:numId w:val="1009"/>
        </w:numPr>
      </w:pPr>
      <w:r>
        <w:t xml:space="preserve">U.S. Coffee shipment and margin trends improve sequentially;</w:t>
      </w:r>
    </w:p>
    <w:p>
      <w:pPr>
        <w:pStyle w:val="Compact"/>
        <w:numPr>
          <w:ilvl w:val="0"/>
          <w:numId w:val="1009"/>
        </w:numPr>
      </w:pPr>
      <w:r>
        <w:t xml:space="preserve">JDE Peet’s performance and integration are described as tracking to plan;</w:t>
      </w:r>
    </w:p>
    <w:p>
      <w:pPr>
        <w:pStyle w:val="Compact"/>
        <w:numPr>
          <w:ilvl w:val="0"/>
          <w:numId w:val="1009"/>
        </w:numPr>
      </w:pPr>
      <w:r>
        <w:t xml:space="preserve">Clear evidence of early synergy actions or expanded Keurig/Peet’s commercial opportunities;</w:t>
      </w:r>
    </w:p>
    <w:p>
      <w:pPr>
        <w:pStyle w:val="Compact"/>
        <w:numPr>
          <w:ilvl w:val="0"/>
          <w:numId w:val="1009"/>
        </w:numPr>
      </w:pPr>
      <w:r>
        <w:t xml:space="preserve">No deterioration in demand, price elasticity, or retailer inventory behavior.</w:t>
      </w:r>
    </w:p>
    <w:bookmarkEnd w:id="18"/>
    <w:bookmarkStart w:id="19" w:name="what-would-be-bearish"/>
    <w:p>
      <w:pPr>
        <w:pStyle w:val="Heading2"/>
      </w:pPr>
      <w:r>
        <w:t xml:space="preserve">What would be bearish?</w:t>
      </w:r>
    </w:p>
    <w:p>
      <w:pPr>
        <w:pStyle w:val="Compact"/>
        <w:numPr>
          <w:ilvl w:val="0"/>
          <w:numId w:val="1010"/>
        </w:numPr>
      </w:pPr>
      <w:r>
        <w:t xml:space="preserve">A guide cut driven by coffee costs, tariffs, or weaker volume;</w:t>
      </w:r>
    </w:p>
    <w:p>
      <w:pPr>
        <w:pStyle w:val="Compact"/>
        <w:numPr>
          <w:ilvl w:val="0"/>
          <w:numId w:val="1010"/>
        </w:numPr>
      </w:pPr>
      <w:r>
        <w:t xml:space="preserve">Continued or worsening pod shipment pressure relative to consumer sell-through;</w:t>
      </w:r>
    </w:p>
    <w:p>
      <w:pPr>
        <w:pStyle w:val="Compact"/>
        <w:numPr>
          <w:ilvl w:val="0"/>
          <w:numId w:val="1010"/>
        </w:numPr>
      </w:pPr>
      <w:r>
        <w:t xml:space="preserve">Evidence that consumer affordability is forcing more promotional spending or limiting price realization;</w:t>
      </w:r>
    </w:p>
    <w:p>
      <w:pPr>
        <w:pStyle w:val="Compact"/>
        <w:numPr>
          <w:ilvl w:val="0"/>
          <w:numId w:val="1010"/>
        </w:numPr>
      </w:pPr>
      <w:r>
        <w:t xml:space="preserve">JDE Peet’s margins or integration costs materially worse than expected;</w:t>
      </w:r>
    </w:p>
    <w:p>
      <w:pPr>
        <w:pStyle w:val="Compact"/>
        <w:numPr>
          <w:ilvl w:val="0"/>
          <w:numId w:val="1010"/>
        </w:numPr>
      </w:pPr>
      <w:r>
        <w:t xml:space="preserve">Higher-than-expected interest, preferred-security, or JV-related drag;</w:t>
      </w:r>
    </w:p>
    <w:p>
      <w:pPr>
        <w:pStyle w:val="Compact"/>
        <w:numPr>
          <w:ilvl w:val="0"/>
          <w:numId w:val="1010"/>
        </w:numPr>
      </w:pPr>
      <w:r>
        <w:t xml:space="preserve">A delay or reduced confidence in the 2026 readiness / early-2027 separation timeline.</w:t>
      </w:r>
    </w:p>
    <w:bookmarkEnd w:id="19"/>
    <w:bookmarkStart w:id="20" w:name="bottom-line"/>
    <w:p>
      <w:pPr>
        <w:pStyle w:val="Heading2"/>
      </w:pPr>
      <w:r>
        <w:t xml:space="preserve">Bottom line</w:t>
      </w:r>
    </w:p>
    <w:p>
      <w:pPr>
        <w:pStyle w:val="FirstParagraph"/>
      </w:pPr>
      <w:r>
        <w:rPr>
          <w:b/>
          <w:bCs/>
        </w:rPr>
        <w:t xml:space="preserve">The most constructive outcome is not necessarily a large EPS beat.</w:t>
      </w:r>
      <w:r>
        <w:t xml:space="preserve"> </w:t>
      </w:r>
      <w:r>
        <w:t xml:space="preserve">It is a report that keeps the 2026 algorithm intact: resilient U.S. beverage growth, sequential stabilization in coffee, JDE Peet’s integration progressing as planned, and sustained confidence in low-double-digit full-year EPS growth.</w:t>
      </w:r>
    </w:p>
    <w:p>
      <w:pPr>
        <w:pStyle w:val="BodyText"/>
      </w:pPr>
      <w:r>
        <w:t xml:space="preserve">KDP has positioned 2Q as a transition quarter: first-half coffee pressure and transaction complexity should give way to a more favorable second half. The earnings call needs to show that this inflection is visible in operating data—not merely embedded in management’s forecast.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2026-08-06T00:09:53Z</dcterms:created>
  <dcterms:modified xsi:type="dcterms:W3CDTF">2026-08-06T00:09:53Z</dcterms:modified>
</cp:coreProperties>
</file>

<file path=docProps/custom.xml><?xml version="1.0" encoding="utf-8"?>
<Properties xmlns="http://schemas.openxmlformats.org/officeDocument/2006/custom-properties" xmlns:vt="http://schemas.openxmlformats.org/officeDocument/2006/docPropsVTypes"/>
</file>