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kdp-earnings-predictions--2026-08-06"/>
    <w:p>
      <w:pPr>
        <w:pStyle w:val="Heading1"/>
      </w:pPr>
      <w:r>
        <w:t xml:space="preserve">KDP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KDP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US Refreshment Beverages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~$2,920M vs. cons $2,854M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KDP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~$0.585 vs. cons $0.575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KDP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US Coffee Operating Income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~$235M vs. cons $254M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KDP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Net Sales (FY2026)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midpoint ~$26.15B vs. cons $26.26B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KDP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Adj. EPS Growth (FY2026)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'low double-digit' CC consistent with cons $2.439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KDP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H2 Coffee Cost Phasing (qualitative, 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reaffirm 'meaningful improvement' language, no new specificity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KDP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KDP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-3.0% (FADE)</w:t>
            </w:r>
          </w:p>
        </w:tc>
        <w:tc>
          <w:tcPr/>
          <w:p>
            <w:pPr>
              <w:pStyle w:val="Compact"/>
            </w:pPr>
            <w:r>
              <w:t xml:space="preserve">FADE — sell-side trims H2 coffee estimates; Coffee CEO succession uncertainty keeps multiple compressed through the week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2026-08-08T02:01:23Z</dcterms:created>
  <dcterms:modified xsi:type="dcterms:W3CDTF">2026-08-08T02:01:23Z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