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Keurig Dr Pepper (KDP) — Q2 2026 Earnings Preview</w:t>
      </w:r>
    </w:p>
    <w:p>
      <w:r>
        <w:rPr>
          <w:rFonts w:ascii="Calibri" w:hAnsi="Calibri"/>
          <w:b/>
          <w:color w:val="525866"/>
          <w:sz w:val="22"/>
        </w:rPr>
        <w:t xml:space="preserve">Ticker: </w:t>
      </w:r>
      <w:r>
        <w:rPr>
          <w:rFonts w:ascii="Calibri" w:hAnsi="Calibri"/>
          <w:color w:val="525866"/>
          <w:sz w:val="22"/>
        </w:rPr>
        <w:t xml:space="preserve">KDP  </w:t>
      </w:r>
      <w:r>
        <w:rPr>
          <w:rFonts w:ascii="Calibri" w:hAnsi="Calibri"/>
          <w:b/>
          <w:color w:val="525866"/>
          <w:sz w:val="22"/>
        </w:rPr>
        <w:t xml:space="preserve">  |  Reporting Period: </w:t>
      </w:r>
      <w:r>
        <w:rPr>
          <w:rFonts w:ascii="Calibri" w:hAnsi="Calibri"/>
          <w:color w:val="525866"/>
          <w:sz w:val="22"/>
        </w:rPr>
        <w:t xml:space="preserve">Q2 2026 (ending June 30, 2026)  </w:t>
      </w:r>
      <w:r>
        <w:rPr>
          <w:rFonts w:ascii="Calibri" w:hAnsi="Calibri"/>
          <w:b/>
          <w:color w:val="525866"/>
          <w:sz w:val="22"/>
        </w:rPr>
        <w:t xml:space="preserve">  |  Earnings Date: </w:t>
      </w:r>
      <w:r>
        <w:rPr>
          <w:rFonts w:ascii="Calibri" w:hAnsi="Calibri"/>
          <w:color w:val="525866"/>
          <w:sz w:val="22"/>
        </w:rPr>
        <w:t xml:space="preserve">TBD  </w:t>
      </w:r>
      <w:r>
        <w:rPr>
          <w:rFonts w:ascii="Calibri" w:hAnsi="Calibri"/>
          <w:b/>
          <w:color w:val="525866"/>
          <w:sz w:val="22"/>
        </w:rPr>
        <w:t xml:space="preserve">  |  Prepared: </w:t>
      </w:r>
      <w:r>
        <w:rPr>
          <w:rFonts w:ascii="Calibri" w:hAnsi="Calibri"/>
          <w:color w:val="525866"/>
          <w:sz w:val="22"/>
        </w:rPr>
        <w:t>August 5,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Q2 2026 is cautiously constructive — consensus is a manageable bar with the biggest swing factor being the pace of </w:t>
      </w:r>
      <w:r>
        <w:rPr>
          <w:rFonts w:ascii="Calibri" w:hAnsi="Calibri"/>
          <w:b/>
          <w:color w:val="525866"/>
          <w:sz w:val="22"/>
          <w:u w:val="single"/>
        </w:rPr>
        <w:t>U.S. Coffee margin recovery</w:t>
      </w:r>
      <w:r>
        <w:rPr>
          <w:rFonts w:ascii="Calibri" w:hAnsi="Calibri"/>
          <w:b/>
          <w:color w:val="525866"/>
          <w:sz w:val="22"/>
        </w:rPr>
        <w:t xml:space="preserve"> and whether JDE Peet’s integration costs track in line with guidance.</w:t>
      </w:r>
    </w:p>
    <w:p>
      <w:r>
        <w:rPr>
          <w:rFonts w:ascii="Calibri" w:hAnsi="Calibri"/>
          <w:color w:val="525866"/>
          <w:sz w:val="22"/>
        </w:rPr>
        <w:t>KDP heads into Q2 2026 with momentum in its highest-visibility segment: U.S. Refreshment Beverages delivered +11.9% net sales growth in Q1 and management explicitly flagged it as an “outsized contributor” to the mid-single-digit legacy KDP growth guide for the full year, though Q2 top-line growth will likely moderate from Q1’s elevated level as incremental GHOST distribution benefits normalize. The bar on the bottom line is shaped by management’s own Q2 phasing guide of “high single-digit EPS growth” in constant currency, which implies consensus adjusted EPS of ~$0.575 is roughly in line with what management telegraphed — making this a confirm-the-guide quarter rather than a beat-the-street moment. Estimate revisions since the April 23 Q1 print have been essentially flat (Q2 EPS consensus moved from $0.574 to $0.575), suggesting the Street has already digested the phasing commentary and is not pricing in upside. The stock has re-rated from ~$28.50 at the Q1 print to ~$30.75 today (+7.8%), outperforming XLP but lagging the S&amp;P 500, meaning the stock has partially priced in execution confidence but is not stretched. The single biggest wildcard is the departure of Rafa Oliveira (Coffee Operating Unit CEO, announced June 23) ahead of the planned early-2027 separation — any commentary on the Global Coffee Co. CEO search, separation timeline, or Q2 JDE Peet’s integration progress could move the stock more than the headline EPS number.</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manageable bar anchored by management’s own Q2 phasing guide; </w:t>
      </w:r>
      <w:r>
        <w:rPr>
          <w:rFonts w:ascii="Calibri" w:hAnsi="Calibri"/>
          <w:b/>
          <w:color w:val="525866"/>
          <w:sz w:val="22"/>
        </w:rPr>
        <w:t>U.S. Refreshment Beverages net sales</w:t>
      </w:r>
      <w:r>
        <w:rPr>
          <w:rFonts w:ascii="Calibri" w:hAnsi="Calibri"/>
          <w:b/>
          <w:color w:val="525866"/>
          <w:sz w:val="22"/>
        </w:rPr>
        <w:t xml:space="preserve"> is the bigger upside swing factor while </w:t>
      </w:r>
      <w:r>
        <w:rPr>
          <w:rFonts w:ascii="Calibri" w:hAnsi="Calibri"/>
          <w:b/>
          <w:color w:val="525866"/>
          <w:sz w:val="22"/>
        </w:rPr>
        <w:t>U.S. Coffee operating income</w:t>
      </w:r>
      <w:r>
        <w:rPr>
          <w:rFonts w:ascii="Calibri" w:hAnsi="Calibri"/>
          <w:b/>
          <w:color w:val="525866"/>
          <w:sz w:val="22"/>
        </w:rPr>
        <w:t xml:space="preserve"> remains the key downside risk given ongoing green coffee cost headwinds.</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rPr>
                <w:rFonts w:ascii="Calibri" w:hAnsi="Calibri"/>
                <w:b/>
                <w:sz w:val="22"/>
              </w:rPr>
              <w:t>KPI</w:t>
            </w:r>
          </w:p>
        </w:tc>
        <w:tc>
          <w:tcPr>
            <w:tcW w:type="dxa" w:w="1234"/>
          </w:tcPr>
          <w:p>
            <w:r>
              <w:rPr>
                <w:rFonts w:ascii="Calibri" w:hAnsi="Calibri"/>
                <w:b/>
                <w:sz w:val="22"/>
              </w:rPr>
              <w:t>Last Quarter Actual (Q1 2026)</w:t>
            </w:r>
          </w:p>
        </w:tc>
        <w:tc>
          <w:tcPr>
            <w:tcW w:type="dxa" w:w="1234"/>
          </w:tcPr>
          <w:p>
            <w:r>
              <w:rPr>
                <w:rFonts w:ascii="Calibri" w:hAnsi="Calibri"/>
                <w:b/>
                <w:sz w:val="22"/>
              </w:rPr>
              <w:t>Prior Year Period (Q2 2025 Actual)</w:t>
            </w:r>
          </w:p>
        </w:tc>
        <w:tc>
          <w:tcPr>
            <w:tcW w:type="dxa" w:w="1234"/>
          </w:tcPr>
          <w:p>
            <w:r>
              <w:rPr>
                <w:rFonts w:ascii="Calibri" w:hAnsi="Calibri"/>
                <w:b/>
                <w:sz w:val="22"/>
              </w:rPr>
              <w:t>Q2 2026 Consensus Estimate</w:t>
            </w:r>
          </w:p>
        </w:tc>
        <w:tc>
          <w:tcPr>
            <w:tcW w:type="dxa" w:w="1234"/>
          </w:tcPr>
          <w:p>
            <w:r>
              <w:rPr>
                <w:rFonts w:ascii="Calibri" w:hAnsi="Calibri"/>
                <w:b/>
                <w:sz w:val="22"/>
              </w:rPr>
              <w:t>YoY Change (vs. Q2 2025)</w:t>
            </w:r>
          </w:p>
        </w:tc>
        <w:tc>
          <w:tcPr>
            <w:tcW w:type="dxa" w:w="1234"/>
          </w:tcPr>
          <w:p>
            <w:r>
              <w:rPr>
                <w:rFonts w:ascii="Calibri" w:hAnsi="Calibri"/>
                <w:b/>
                <w:sz w:val="22"/>
              </w:rPr>
              <w:t>Guidance</w:t>
            </w:r>
          </w:p>
        </w:tc>
        <w:tc>
          <w:tcPr>
            <w:tcW w:type="dxa" w:w="1234"/>
          </w:tcPr>
          <w:p>
            <w:r>
              <w:rPr>
                <w:rFonts w:ascii="Calibri" w:hAnsi="Calibri"/>
                <w:b/>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$3.976B</w:t>
            </w:r>
          </w:p>
        </w:tc>
        <w:tc>
          <w:tcPr>
            <w:tcW w:type="dxa" w:w="1234"/>
          </w:tcPr>
          <w:p>
            <w:r>
              <w:rPr>
                <w:rFonts w:ascii="Calibri" w:hAnsi="Calibri"/>
                <w:sz w:val="22"/>
              </w:rPr>
              <w:t>$4.163B</w:t>
            </w:r>
          </w:p>
        </w:tc>
        <w:tc>
          <w:tcPr>
            <w:tcW w:type="dxa" w:w="1234"/>
          </w:tcPr>
          <w:p>
            <w:r>
              <w:rPr>
                <w:rFonts w:ascii="Calibri" w:hAnsi="Calibri"/>
                <w:sz w:val="22"/>
              </w:rPr>
              <w:t>$7.245B¹</w:t>
            </w:r>
          </w:p>
        </w:tc>
        <w:tc>
          <w:tcPr>
            <w:tcW w:type="dxa" w:w="1234"/>
          </w:tcPr>
          <w:p>
            <w:r>
              <w:rPr>
                <w:rFonts w:ascii="Calibri" w:hAnsi="Calibri"/>
                <w:sz w:val="22"/>
              </w:rPr>
              <w:t>+74% (includes JDE Peet’s from Apr 1)</w:t>
            </w:r>
          </w:p>
        </w:tc>
        <w:tc>
          <w:tcPr>
            <w:tcW w:type="dxa" w:w="1234"/>
          </w:tcPr>
          <w:p>
            <w:r>
              <w:rPr>
                <w:rFonts w:ascii="Calibri" w:hAnsi="Calibri"/>
                <w:sz w:val="22"/>
              </w:rPr>
              <w:t>$25.9B–$26.4B FY (mgmt. guide)</w:t>
            </w:r>
          </w:p>
        </w:tc>
        <w:tc>
          <w:tcPr>
            <w:tcW w:type="dxa" w:w="1234"/>
          </w:tcPr>
          <w:p>
            <w:r>
              <w:rPr>
                <w:rFonts w:ascii="Calibri" w:hAnsi="Calibri"/>
                <w:sz w:val="22"/>
              </w:rPr>
              <w:t>In line with FY run-rate</w:t>
            </w:r>
          </w:p>
        </w:tc>
      </w:tr>
      <w:tr>
        <w:tc>
          <w:tcPr>
            <w:tcW w:type="dxa" w:w="1234"/>
          </w:tcPr>
          <w:p>
            <w:r>
              <w:rPr>
                <w:rFonts w:ascii="Calibri" w:hAnsi="Calibri"/>
                <w:sz w:val="22"/>
              </w:rPr>
              <w:t>US Refreshment Beverages Revenue ($B)</w:t>
            </w:r>
          </w:p>
        </w:tc>
        <w:tc>
          <w:tcPr>
            <w:tcW w:type="dxa" w:w="1234"/>
          </w:tcPr>
          <w:p>
            <w:r>
              <w:rPr>
                <w:rFonts w:ascii="Calibri" w:hAnsi="Calibri"/>
                <w:sz w:val="22"/>
              </w:rPr>
              <w:t>$2.599B</w:t>
            </w:r>
          </w:p>
        </w:tc>
        <w:tc>
          <w:tcPr>
            <w:tcW w:type="dxa" w:w="1234"/>
          </w:tcPr>
          <w:p>
            <w:r>
              <w:rPr>
                <w:rFonts w:ascii="Calibri" w:hAnsi="Calibri"/>
                <w:sz w:val="22"/>
              </w:rPr>
              <w:t>$2.660B</w:t>
            </w:r>
          </w:p>
        </w:tc>
        <w:tc>
          <w:tcPr>
            <w:tcW w:type="dxa" w:w="1234"/>
          </w:tcPr>
          <w:p>
            <w:r>
              <w:rPr>
                <w:rFonts w:ascii="Calibri" w:hAnsi="Calibri"/>
                <w:sz w:val="22"/>
              </w:rPr>
              <w:t>$2.854B¹</w:t>
            </w:r>
          </w:p>
        </w:tc>
        <w:tc>
          <w:tcPr>
            <w:tcW w:type="dxa" w:w="1234"/>
          </w:tcPr>
          <w:p>
            <w:r>
              <w:rPr>
                <w:rFonts w:ascii="Calibri" w:hAnsi="Calibri"/>
                <w:sz w:val="22"/>
              </w:rPr>
              <w:t>+7.3%</w:t>
            </w:r>
          </w:p>
        </w:tc>
        <w:tc>
          <w:tcPr>
            <w:tcW w:type="dxa" w:w="1234"/>
          </w:tcPr>
          <w:p>
            <w:r>
              <w:rPr>
                <w:rFonts w:ascii="Calibri" w:hAnsi="Calibri"/>
                <w:sz w:val="22"/>
              </w:rPr>
              <w:t>Outsized contributor to MSD legacy KDP growth</w:t>
            </w:r>
          </w:p>
        </w:tc>
        <w:tc>
          <w:tcPr>
            <w:tcW w:type="dxa" w:w="1234"/>
          </w:tcPr>
          <w:p>
            <w:r>
              <w:rPr>
                <w:rFonts w:ascii="Calibri" w:hAnsi="Calibri"/>
                <w:sz w:val="22"/>
              </w:rPr>
              <w:t>Above segment trend</w:t>
            </w:r>
          </w:p>
        </w:tc>
      </w:tr>
      <w:tr>
        <w:tc>
          <w:tcPr>
            <w:tcW w:type="dxa" w:w="1234"/>
          </w:tcPr>
          <w:p>
            <w:r>
              <w:rPr>
                <w:rFonts w:ascii="Calibri" w:hAnsi="Calibri"/>
                <w:sz w:val="22"/>
              </w:rPr>
              <w:t>US Coffee Revenue ($B)</w:t>
            </w:r>
          </w:p>
        </w:tc>
        <w:tc>
          <w:tcPr>
            <w:tcW w:type="dxa" w:w="1234"/>
          </w:tcPr>
          <w:p>
            <w:r>
              <w:rPr>
                <w:rFonts w:ascii="Calibri" w:hAnsi="Calibri"/>
                <w:sz w:val="22"/>
              </w:rPr>
              <w:t>$0.857B</w:t>
            </w:r>
          </w:p>
        </w:tc>
        <w:tc>
          <w:tcPr>
            <w:tcW w:type="dxa" w:w="1234"/>
          </w:tcPr>
          <w:p>
            <w:r>
              <w:rPr>
                <w:rFonts w:ascii="Calibri" w:hAnsi="Calibri"/>
                <w:sz w:val="22"/>
              </w:rPr>
              <w:t>$0.948B</w:t>
            </w:r>
          </w:p>
        </w:tc>
        <w:tc>
          <w:tcPr>
            <w:tcW w:type="dxa" w:w="1234"/>
          </w:tcPr>
          <w:p>
            <w:r>
              <w:rPr>
                <w:rFonts w:ascii="Calibri" w:hAnsi="Calibri"/>
                <w:sz w:val="22"/>
              </w:rPr>
              <w:t>$0.940B¹</w:t>
            </w:r>
          </w:p>
        </w:tc>
        <w:tc>
          <w:tcPr>
            <w:tcW w:type="dxa" w:w="1234"/>
          </w:tcPr>
          <w:p>
            <w:r>
              <w:rPr>
                <w:rFonts w:ascii="Calibri" w:hAnsi="Calibri"/>
                <w:sz w:val="22"/>
              </w:rPr>
              <w:t>−0.8%</w:t>
            </w:r>
          </w:p>
        </w:tc>
        <w:tc>
          <w:tcPr>
            <w:tcW w:type="dxa" w:w="1234"/>
          </w:tcPr>
          <w:p>
            <w:r>
              <w:rPr>
                <w:rFonts w:ascii="Calibri" w:hAnsi="Calibri"/>
                <w:sz w:val="22"/>
              </w:rPr>
              <w:t>Modest YoY decline expected; slight easing vs. Q1</w:t>
            </w:r>
          </w:p>
        </w:tc>
        <w:tc>
          <w:tcPr>
            <w:tcW w:type="dxa" w:w="1234"/>
          </w:tcPr>
          <w:p>
            <w:r>
              <w:rPr>
                <w:rFonts w:ascii="Calibri" w:hAnsi="Calibri"/>
                <w:sz w:val="22"/>
              </w:rPr>
              <w:t>In line</w:t>
            </w:r>
          </w:p>
        </w:tc>
      </w:tr>
      <w:tr>
        <w:tc>
          <w:tcPr>
            <w:tcW w:type="dxa" w:w="1234"/>
          </w:tcPr>
          <w:p>
            <w:r>
              <w:rPr>
                <w:rFonts w:ascii="Calibri" w:hAnsi="Calibri"/>
                <w:sz w:val="22"/>
              </w:rPr>
              <w:t>JDE Peet’s Revenue ($B)</w:t>
            </w:r>
          </w:p>
        </w:tc>
        <w:tc>
          <w:tcPr>
            <w:tcW w:type="dxa" w:w="1234"/>
          </w:tcPr>
          <w:p>
            <w:r>
              <w:rPr>
                <w:rFonts w:ascii="Calibri" w:hAnsi="Calibri"/>
                <w:sz w:val="22"/>
              </w:rPr>
              <w:t>N/A (closed Apr 1, 2026)</w:t>
            </w:r>
          </w:p>
        </w:tc>
        <w:tc>
          <w:tcPr>
            <w:tcW w:type="dxa" w:w="1234"/>
          </w:tcPr>
          <w:p>
            <w:r>
              <w:rPr>
                <w:rFonts w:ascii="Calibri" w:hAnsi="Calibri"/>
                <w:sz w:val="22"/>
              </w:rPr>
              <w:t>N/A (not consolidated)</w:t>
            </w:r>
          </w:p>
        </w:tc>
        <w:tc>
          <w:tcPr>
            <w:tcW w:type="dxa" w:w="1234"/>
          </w:tcPr>
          <w:p>
            <w:r>
              <w:rPr>
                <w:rFonts w:ascii="Calibri" w:hAnsi="Calibri"/>
                <w:sz w:val="22"/>
              </w:rPr>
              <w:t>$2.818B¹</w:t>
            </w:r>
          </w:p>
        </w:tc>
        <w:tc>
          <w:tcPr>
            <w:tcW w:type="dxa" w:w="1234"/>
          </w:tcPr>
          <w:p>
            <w:r>
              <w:rPr>
                <w:rFonts w:ascii="Calibri" w:hAnsi="Calibri"/>
                <w:sz w:val="22"/>
              </w:rPr>
              <w:t>N/A (first full quarter consolidated)</w:t>
            </w:r>
          </w:p>
        </w:tc>
        <w:tc>
          <w:tcPr>
            <w:tcW w:type="dxa" w:w="1234"/>
          </w:tcPr>
          <w:p>
            <w:r>
              <w:rPr>
                <w:rFonts w:ascii="Calibri" w:hAnsi="Calibri"/>
                <w:sz w:val="22"/>
              </w:rPr>
              <w:t>$8.5B–$8.7B FY contribution</w:t>
            </w:r>
          </w:p>
        </w:tc>
        <w:tc>
          <w:tcPr>
            <w:tcW w:type="dxa" w:w="1234"/>
          </w:tcPr>
          <w:p>
            <w:r>
              <w:rPr>
                <w:rFonts w:ascii="Calibri" w:hAnsi="Calibri"/>
                <w:sz w:val="22"/>
              </w:rPr>
              <w:t>~$2.8B implies in-range</w:t>
            </w:r>
          </w:p>
        </w:tc>
      </w:tr>
      <w:tr>
        <w:tc>
          <w:tcPr>
            <w:tcW w:type="dxa" w:w="1234"/>
          </w:tcPr>
          <w:p>
            <w:r>
              <w:rPr>
                <w:rFonts w:ascii="Calibri" w:hAnsi="Calibri"/>
                <w:sz w:val="22"/>
              </w:rPr>
              <w:t>Adj. EPS - Diluted - Operating ($)</w:t>
            </w:r>
          </w:p>
        </w:tc>
        <w:tc>
          <w:tcPr>
            <w:tcW w:type="dxa" w:w="1234"/>
          </w:tcPr>
          <w:p>
            <w:r>
              <w:rPr>
                <w:rFonts w:ascii="Calibri" w:hAnsi="Calibri"/>
                <w:sz w:val="22"/>
              </w:rPr>
              <w:t>$0.39</w:t>
            </w:r>
          </w:p>
        </w:tc>
        <w:tc>
          <w:tcPr>
            <w:tcW w:type="dxa" w:w="1234"/>
          </w:tcPr>
          <w:p>
            <w:r>
              <w:rPr>
                <w:rFonts w:ascii="Calibri" w:hAnsi="Calibri"/>
                <w:sz w:val="22"/>
              </w:rPr>
              <w:t>$0.49</w:t>
            </w:r>
          </w:p>
        </w:tc>
        <w:tc>
          <w:tcPr>
            <w:tcW w:type="dxa" w:w="1234"/>
          </w:tcPr>
          <w:p>
            <w:r>
              <w:rPr>
                <w:rFonts w:ascii="Calibri" w:hAnsi="Calibri"/>
                <w:sz w:val="22"/>
              </w:rPr>
              <w:t>$0.575¹</w:t>
            </w:r>
          </w:p>
        </w:tc>
        <w:tc>
          <w:tcPr>
            <w:tcW w:type="dxa" w:w="1234"/>
          </w:tcPr>
          <w:p>
            <w:r>
              <w:rPr>
                <w:rFonts w:ascii="Calibri" w:hAnsi="Calibri"/>
                <w:sz w:val="22"/>
              </w:rPr>
              <w:t>+17.3%</w:t>
            </w:r>
          </w:p>
        </w:tc>
        <w:tc>
          <w:tcPr>
            <w:tcW w:type="dxa" w:w="1234"/>
          </w:tcPr>
          <w:p>
            <w:r>
              <w:rPr>
                <w:rFonts w:ascii="Calibri" w:hAnsi="Calibri"/>
                <w:sz w:val="22"/>
              </w:rPr>
              <w:t>High single-digit EPS growth in Q2 (CC)</w:t>
            </w:r>
          </w:p>
        </w:tc>
        <w:tc>
          <w:tcPr>
            <w:tcW w:type="dxa" w:w="1234"/>
          </w:tcPr>
          <w:p>
            <w:r>
              <w:rPr>
                <w:rFonts w:ascii="Calibri" w:hAnsi="Calibri"/>
                <w:sz w:val="22"/>
              </w:rPr>
              <w:t>~+17% vs. Q2 2025; in line with guide</w:t>
            </w:r>
          </w:p>
        </w:tc>
      </w:tr>
      <w:tr>
        <w:tc>
          <w:tcPr>
            <w:tcW w:type="dxa" w:w="1234"/>
          </w:tcPr>
          <w:p>
            <w:r>
              <w:rPr>
                <w:rFonts w:ascii="Calibri" w:hAnsi="Calibri"/>
                <w:sz w:val="22"/>
              </w:rPr>
              <w:t>Operating Income - Operating ($B)</w:t>
            </w:r>
          </w:p>
        </w:tc>
        <w:tc>
          <w:tcPr>
            <w:tcW w:type="dxa" w:w="1234"/>
          </w:tcPr>
          <w:p>
            <w:r>
              <w:rPr>
                <w:rFonts w:ascii="Calibri" w:hAnsi="Calibri"/>
                <w:sz w:val="22"/>
              </w:rPr>
              <w:t>$0.838B</w:t>
            </w:r>
          </w:p>
        </w:tc>
        <w:tc>
          <w:tcPr>
            <w:tcW w:type="dxa" w:w="1234"/>
          </w:tcPr>
          <w:p>
            <w:r>
              <w:rPr>
                <w:rFonts w:ascii="Calibri" w:hAnsi="Calibri"/>
                <w:sz w:val="22"/>
              </w:rPr>
              <w:t>$1.028B</w:t>
            </w:r>
          </w:p>
        </w:tc>
        <w:tc>
          <w:tcPr>
            <w:tcW w:type="dxa" w:w="1234"/>
          </w:tcPr>
          <w:p>
            <w:r>
              <w:rPr>
                <w:rFonts w:ascii="Calibri" w:hAnsi="Calibri"/>
                <w:sz w:val="22"/>
              </w:rPr>
              <w:t>$1.404B¹</w:t>
            </w:r>
          </w:p>
        </w:tc>
        <w:tc>
          <w:tcPr>
            <w:tcW w:type="dxa" w:w="1234"/>
          </w:tcPr>
          <w:p>
            <w:r>
              <w:rPr>
                <w:rFonts w:ascii="Calibri" w:hAnsi="Calibri"/>
                <w:sz w:val="22"/>
              </w:rPr>
              <w:t>+36.6% (JDE Peet’s consolidation)</w:t>
            </w:r>
          </w:p>
        </w:tc>
        <w:tc>
          <w:tcPr>
            <w:tcW w:type="dxa" w:w="1234"/>
          </w:tcPr>
          <w:p>
            <w:r>
              <w:rPr>
                <w:rFonts w:ascii="Calibri" w:hAnsi="Calibri"/>
                <w:sz w:val="22"/>
              </w:rPr>
              <w:t>Low double-digit EPS growth FY (CC)</w:t>
            </w:r>
          </w:p>
        </w:tc>
        <w:tc>
          <w:tcPr>
            <w:tcW w:type="dxa" w:w="1234"/>
          </w:tcPr>
          <w:p>
            <w:r>
              <w:rPr>
                <w:rFonts w:ascii="Calibri" w:hAnsi="Calibri"/>
                <w:sz w:val="22"/>
              </w:rPr>
              <w:t>In line</w:t>
            </w:r>
          </w:p>
        </w:tc>
      </w:tr>
      <w:tr>
        <w:tc>
          <w:tcPr>
            <w:tcW w:type="dxa" w:w="1234"/>
          </w:tcPr>
          <w:p>
            <w:r>
              <w:rPr>
                <w:rFonts w:ascii="Calibri" w:hAnsi="Calibri"/>
                <w:sz w:val="22"/>
              </w:rPr>
              <w:t>Operating Margin - Operating (%)</w:t>
            </w:r>
          </w:p>
        </w:tc>
        <w:tc>
          <w:tcPr>
            <w:tcW w:type="dxa" w:w="1234"/>
          </w:tcPr>
          <w:p>
            <w:r>
              <w:rPr>
                <w:rFonts w:ascii="Calibri" w:hAnsi="Calibri"/>
                <w:sz w:val="22"/>
              </w:rPr>
              <w:t>21.1%</w:t>
            </w:r>
          </w:p>
        </w:tc>
        <w:tc>
          <w:tcPr>
            <w:tcW w:type="dxa" w:w="1234"/>
          </w:tcPr>
          <w:p>
            <w:r>
              <w:rPr>
                <w:rFonts w:ascii="Calibri" w:hAnsi="Calibri"/>
                <w:sz w:val="22"/>
              </w:rPr>
              <w:t>24.7%</w:t>
            </w:r>
          </w:p>
        </w:tc>
        <w:tc>
          <w:tcPr>
            <w:tcW w:type="dxa" w:w="1234"/>
          </w:tcPr>
          <w:p>
            <w:r>
              <w:rPr>
                <w:rFonts w:ascii="Calibri" w:hAnsi="Calibri"/>
                <w:sz w:val="22"/>
              </w:rPr>
              <w:t>19.4%¹</w:t>
            </w:r>
          </w:p>
        </w:tc>
        <w:tc>
          <w:tcPr>
            <w:tcW w:type="dxa" w:w="1234"/>
          </w:tcPr>
          <w:p>
            <w:r>
              <w:rPr>
                <w:rFonts w:ascii="Calibri" w:hAnsi="Calibri"/>
                <w:sz w:val="22"/>
              </w:rPr>
              <w:t>−530 bps (JDE Peet’s dilution)</w:t>
            </w:r>
          </w:p>
        </w:tc>
        <w:tc>
          <w:tcPr>
            <w:tcW w:type="dxa" w:w="1234"/>
          </w:tcPr>
          <w:p>
            <w:r>
              <w:rPr>
                <w:rFonts w:ascii="Calibri" w:hAnsi="Calibri"/>
                <w:sz w:val="22"/>
              </w:rPr>
              <w:t>N/A — not guided explicitly</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$0.184B</w:t>
            </w:r>
          </w:p>
        </w:tc>
        <w:tc>
          <w:tcPr>
            <w:tcW w:type="dxa" w:w="1234"/>
          </w:tcPr>
          <w:p>
            <w:r>
              <w:rPr>
                <w:rFonts w:ascii="Calibri" w:hAnsi="Calibri"/>
                <w:sz w:val="22"/>
              </w:rPr>
              <w:t>$0.325B</w:t>
            </w:r>
          </w:p>
        </w:tc>
        <w:tc>
          <w:tcPr>
            <w:tcW w:type="dxa" w:w="1234"/>
          </w:tcPr>
          <w:p>
            <w:r>
              <w:rPr>
                <w:rFonts w:ascii="Calibri" w:hAnsi="Calibri"/>
                <w:sz w:val="22"/>
              </w:rPr>
              <w:t>$0.729B¹</w:t>
            </w:r>
          </w:p>
        </w:tc>
        <w:tc>
          <w:tcPr>
            <w:tcW w:type="dxa" w:w="1234"/>
          </w:tcPr>
          <w:p>
            <w:r>
              <w:rPr>
                <w:rFonts w:ascii="Calibri" w:hAnsi="Calibri"/>
                <w:sz w:val="22"/>
              </w:rPr>
              <w:t>+124%</w:t>
            </w:r>
          </w:p>
        </w:tc>
        <w:tc>
          <w:tcPr>
            <w:tcW w:type="dxa" w:w="1234"/>
          </w:tcPr>
          <w:p>
            <w:r>
              <w:rPr>
                <w:rFonts w:ascii="Calibri" w:hAnsi="Calibri"/>
                <w:sz w:val="22"/>
              </w:rPr>
              <w:t>~$2.5B aggregate FY 2026</w:t>
            </w:r>
          </w:p>
        </w:tc>
        <w:tc>
          <w:tcPr>
            <w:tcW w:type="dxa" w:w="1234"/>
          </w:tcPr>
          <w:p>
            <w:r>
              <w:rPr>
                <w:rFonts w:ascii="Calibri" w:hAnsi="Calibri"/>
                <w:sz w:val="22"/>
              </w:rPr>
              <w:t>In line with FY run-rate</w:t>
            </w:r>
          </w:p>
        </w:tc>
      </w:tr>
    </w:tbl>
    <w:p>
      <w:r>
        <w:rPr>
          <w:rFonts w:ascii="Calibri" w:hAnsi="Calibri"/>
          <w:i/>
          <w:color w:val="525866"/>
          <w:sz w:val="22"/>
        </w:rPr>
        <w:t>¹ Source: Visible Alpha Consensus and Actuals Data. All actuals sourced from Visible Alpha; Q2 2026 consensus as of August 5, 2026.</w:t>
      </w:r>
    </w:p>
    <w:p>
      <w:pPr>
        <w:pStyle w:val="Heading3"/>
      </w:pPr>
      <w:r>
        <w:rPr>
          <w:rFonts w:ascii="Calibri" w:hAnsi="Calibri"/>
          <w:b/>
          <w:color w:val="3B4259"/>
          <w:sz w:val="24"/>
        </w:rPr>
        <w:t>Table 2 — Beat/Miss History (Last 8 Quarters) — Top 2 KPIs: Total Revenue &amp; Adj.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Quarter</w:t>
            </w:r>
          </w:p>
        </w:tc>
        <w:tc>
          <w:tcPr>
            <w:tcW w:type="dxa" w:w="1440"/>
          </w:tcPr>
          <w:p>
            <w:r>
              <w:rPr>
                <w:rFonts w:ascii="Calibri" w:hAnsi="Calibri"/>
                <w:b/>
                <w:sz w:val="22"/>
              </w:rPr>
              <w:t>KPI</w:t>
            </w:r>
          </w:p>
        </w:tc>
        <w:tc>
          <w:tcPr>
            <w:tcW w:type="dxa" w:w="1440"/>
          </w:tcPr>
          <w:p>
            <w:r>
              <w:rPr>
                <w:rFonts w:ascii="Calibri" w:hAnsi="Calibri"/>
                <w:b/>
                <w:sz w:val="22"/>
              </w:rPr>
              <w:t>Reported</w:t>
            </w:r>
          </w:p>
        </w:tc>
        <w:tc>
          <w:tcPr>
            <w:tcW w:type="dxa" w:w="1440"/>
          </w:tcPr>
          <w:p>
            <w:r>
              <w:rPr>
                <w:rFonts w:ascii="Calibri" w:hAnsi="Calibri"/>
                <w:b/>
                <w:sz w:val="22"/>
              </w:rPr>
              <w:t>Consensus</w:t>
            </w:r>
          </w:p>
        </w:tc>
        <w:tc>
          <w:tcPr>
            <w:tcW w:type="dxa" w:w="1440"/>
          </w:tcPr>
          <w:p>
            <w:r>
              <w:rPr>
                <w:rFonts w:ascii="Calibri" w:hAnsi="Calibri"/>
                <w:b/>
                <w:sz w:val="22"/>
              </w:rPr>
              <w:t>Surprise %</w:t>
            </w:r>
          </w:p>
        </w:tc>
        <w:tc>
          <w:tcPr>
            <w:tcW w:type="dxa" w:w="1440"/>
          </w:tcPr>
          <w:p>
            <w:r>
              <w:rPr>
                <w:rFonts w:ascii="Calibri" w:hAnsi="Calibri"/>
                <w:b/>
                <w:sz w:val="22"/>
              </w:rPr>
              <w:t>Result</w:t>
            </w:r>
          </w:p>
        </w:tc>
      </w:tr>
      <w:tr>
        <w:tc>
          <w:tcPr>
            <w:tcW w:type="dxa" w:w="1440"/>
          </w:tcPr>
          <w:p>
            <w:r>
              <w:rPr>
                <w:rFonts w:ascii="Calibri" w:hAnsi="Calibri"/>
                <w:sz w:val="22"/>
              </w:rPr>
              <w:t>Q1 2026</w:t>
            </w:r>
          </w:p>
        </w:tc>
        <w:tc>
          <w:tcPr>
            <w:tcW w:type="dxa" w:w="1440"/>
          </w:tcPr>
          <w:p>
            <w:r>
              <w:rPr>
                <w:rFonts w:ascii="Calibri" w:hAnsi="Calibri"/>
                <w:sz w:val="22"/>
              </w:rPr>
              <w:t>Total Revenue</w:t>
            </w:r>
          </w:p>
        </w:tc>
        <w:tc>
          <w:tcPr>
            <w:tcW w:type="dxa" w:w="1440"/>
          </w:tcPr>
          <w:p>
            <w:r>
              <w:rPr>
                <w:rFonts w:ascii="Calibri" w:hAnsi="Calibri"/>
                <w:sz w:val="22"/>
              </w:rPr>
              <w:t>$3.976B</w:t>
            </w:r>
          </w:p>
        </w:tc>
        <w:tc>
          <w:tcPr>
            <w:tcW w:type="dxa" w:w="1440"/>
          </w:tcPr>
          <w:p>
            <w:r>
              <w:rPr>
                <w:rFonts w:ascii="Calibri" w:hAnsi="Calibri"/>
                <w:sz w:val="22"/>
              </w:rPr>
              <w:t>$3.838B</w:t>
            </w:r>
          </w:p>
        </w:tc>
        <w:tc>
          <w:tcPr>
            <w:tcW w:type="dxa" w:w="1440"/>
          </w:tcPr>
          <w:p>
            <w:r>
              <w:rPr>
                <w:rFonts w:ascii="Calibri" w:hAnsi="Calibri"/>
                <w:b/>
                <w:color w:val="30A46C"/>
                <w:sz w:val="22"/>
              </w:rPr>
              <w:t>+3.6%</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$0.39</w:t>
            </w:r>
          </w:p>
        </w:tc>
        <w:tc>
          <w:tcPr>
            <w:tcW w:type="dxa" w:w="1440"/>
          </w:tcPr>
          <w:p>
            <w:r>
              <w:rPr>
                <w:rFonts w:ascii="Calibri" w:hAnsi="Calibri"/>
                <w:sz w:val="22"/>
              </w:rPr>
              <w:t>$0.370</w:t>
            </w:r>
          </w:p>
        </w:tc>
        <w:tc>
          <w:tcPr>
            <w:tcW w:type="dxa" w:w="1440"/>
          </w:tcPr>
          <w:p>
            <w:r>
              <w:rPr>
                <w:rFonts w:ascii="Calibri" w:hAnsi="Calibri"/>
                <w:b/>
                <w:color w:val="30A46C"/>
                <w:sz w:val="22"/>
              </w:rPr>
              <w:t>+5.4%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Total Revenue</w:t>
            </w:r>
          </w:p>
        </w:tc>
        <w:tc>
          <w:tcPr>
            <w:tcW w:type="dxa" w:w="1440"/>
          </w:tcPr>
          <w:p>
            <w:r>
              <w:rPr>
                <w:rFonts w:ascii="Calibri" w:hAnsi="Calibri"/>
                <w:sz w:val="22"/>
              </w:rPr>
              <w:t>$4.499B</w:t>
            </w:r>
          </w:p>
        </w:tc>
        <w:tc>
          <w:tcPr>
            <w:tcW w:type="dxa" w:w="1440"/>
          </w:tcPr>
          <w:p>
            <w:r>
              <w:rPr>
                <w:rFonts w:ascii="Calibri" w:hAnsi="Calibri"/>
                <w:sz w:val="22"/>
              </w:rPr>
              <w:t>$4.363B</w:t>
            </w:r>
          </w:p>
        </w:tc>
        <w:tc>
          <w:tcPr>
            <w:tcW w:type="dxa" w:w="1440"/>
          </w:tcPr>
          <w:p>
            <w:r>
              <w:rPr>
                <w:rFonts w:ascii="Calibri" w:hAnsi="Calibri"/>
                <w:b/>
                <w:color w:val="30A46C"/>
                <w:sz w:val="22"/>
              </w:rPr>
              <w:t>+3.1%</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$0.60</w:t>
            </w:r>
          </w:p>
        </w:tc>
        <w:tc>
          <w:tcPr>
            <w:tcW w:type="dxa" w:w="1440"/>
          </w:tcPr>
          <w:p>
            <w:r>
              <w:rPr>
                <w:rFonts w:ascii="Calibri" w:hAnsi="Calibri"/>
                <w:sz w:val="22"/>
              </w:rPr>
              <w:t>$0.589</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Total Revenue</w:t>
            </w:r>
          </w:p>
        </w:tc>
        <w:tc>
          <w:tcPr>
            <w:tcW w:type="dxa" w:w="1440"/>
          </w:tcPr>
          <w:p>
            <w:r>
              <w:rPr>
                <w:rFonts w:ascii="Calibri" w:hAnsi="Calibri"/>
                <w:sz w:val="22"/>
              </w:rPr>
              <w:t>$4.306B</w:t>
            </w:r>
          </w:p>
        </w:tc>
        <w:tc>
          <w:tcPr>
            <w:tcW w:type="dxa" w:w="1440"/>
          </w:tcPr>
          <w:p>
            <w:r>
              <w:rPr>
                <w:rFonts w:ascii="Calibri" w:hAnsi="Calibri"/>
                <w:sz w:val="22"/>
              </w:rPr>
              <w:t>$4.150B</w:t>
            </w:r>
          </w:p>
        </w:tc>
        <w:tc>
          <w:tcPr>
            <w:tcW w:type="dxa" w:w="1440"/>
          </w:tcPr>
          <w:p>
            <w:r>
              <w:rPr>
                <w:rFonts w:ascii="Calibri" w:hAnsi="Calibri"/>
                <w:b/>
                <w:color w:val="30A46C"/>
                <w:sz w:val="22"/>
              </w:rPr>
              <w:t>+3.8%</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$0.54</w:t>
            </w:r>
          </w:p>
        </w:tc>
        <w:tc>
          <w:tcPr>
            <w:tcW w:type="dxa" w:w="1440"/>
          </w:tcPr>
          <w:p>
            <w:r>
              <w:rPr>
                <w:rFonts w:ascii="Calibri" w:hAnsi="Calibri"/>
                <w:sz w:val="22"/>
              </w:rPr>
              <w:t>$0.537</w:t>
            </w:r>
          </w:p>
        </w:tc>
        <w:tc>
          <w:tcPr>
            <w:tcW w:type="dxa" w:w="1440"/>
          </w:tcPr>
          <w:p>
            <w:r>
              <w:rPr>
                <w:rFonts w:ascii="Calibri" w:hAnsi="Calibri"/>
                <w:b/>
                <w:color w:val="30A46C"/>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Total Revenue</w:t>
            </w:r>
          </w:p>
        </w:tc>
        <w:tc>
          <w:tcPr>
            <w:tcW w:type="dxa" w:w="1440"/>
          </w:tcPr>
          <w:p>
            <w:r>
              <w:rPr>
                <w:rFonts w:ascii="Calibri" w:hAnsi="Calibri"/>
                <w:sz w:val="22"/>
              </w:rPr>
              <w:t>$4.163B</w:t>
            </w:r>
          </w:p>
        </w:tc>
        <w:tc>
          <w:tcPr>
            <w:tcW w:type="dxa" w:w="1440"/>
          </w:tcPr>
          <w:p>
            <w:r>
              <w:rPr>
                <w:rFonts w:ascii="Calibri" w:hAnsi="Calibri"/>
                <w:sz w:val="22"/>
              </w:rPr>
              <w:t>$4.126B</w:t>
            </w:r>
          </w:p>
        </w:tc>
        <w:tc>
          <w:tcPr>
            <w:tcW w:type="dxa" w:w="1440"/>
          </w:tcPr>
          <w:p>
            <w:r>
              <w:rPr>
                <w:rFonts w:ascii="Calibri" w:hAnsi="Calibri"/>
                <w:b/>
                <w:color w:val="30A46C"/>
                <w:sz w:val="22"/>
              </w:rPr>
              <w:t>+0.9%</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$0.49</w:t>
            </w:r>
          </w:p>
        </w:tc>
        <w:tc>
          <w:tcPr>
            <w:tcW w:type="dxa" w:w="1440"/>
          </w:tcPr>
          <w:p>
            <w:r>
              <w:rPr>
                <w:rFonts w:ascii="Calibri" w:hAnsi="Calibri"/>
                <w:sz w:val="22"/>
              </w:rPr>
              <w:t>$0.483</w:t>
            </w:r>
          </w:p>
        </w:tc>
        <w:tc>
          <w:tcPr>
            <w:tcW w:type="dxa" w:w="1440"/>
          </w:tcPr>
          <w:p>
            <w:r>
              <w:rPr>
                <w:rFonts w:ascii="Calibri" w:hAnsi="Calibri"/>
                <w:b/>
                <w:color w:val="30A46C"/>
                <w:sz w:val="22"/>
              </w:rPr>
              <w:t>+1.5%</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Total Revenue</w:t>
            </w:r>
          </w:p>
        </w:tc>
        <w:tc>
          <w:tcPr>
            <w:tcW w:type="dxa" w:w="1440"/>
          </w:tcPr>
          <w:p>
            <w:r>
              <w:rPr>
                <w:rFonts w:ascii="Calibri" w:hAnsi="Calibri"/>
                <w:sz w:val="22"/>
              </w:rPr>
              <w:t>$3.635B</w:t>
            </w:r>
          </w:p>
        </w:tc>
        <w:tc>
          <w:tcPr>
            <w:tcW w:type="dxa" w:w="1440"/>
          </w:tcPr>
          <w:p>
            <w:r>
              <w:rPr>
                <w:rFonts w:ascii="Calibri" w:hAnsi="Calibri"/>
                <w:sz w:val="22"/>
              </w:rPr>
              <w:t>$3.567B</w:t>
            </w:r>
          </w:p>
        </w:tc>
        <w:tc>
          <w:tcPr>
            <w:tcW w:type="dxa" w:w="1440"/>
          </w:tcPr>
          <w:p>
            <w:r>
              <w:rPr>
                <w:rFonts w:ascii="Calibri" w:hAnsi="Calibri"/>
                <w:b/>
                <w:color w:val="30A46C"/>
                <w:sz w:val="22"/>
              </w:rPr>
              <w:t>+1.9%</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$0.42</w:t>
            </w:r>
          </w:p>
        </w:tc>
        <w:tc>
          <w:tcPr>
            <w:tcW w:type="dxa" w:w="1440"/>
          </w:tcPr>
          <w:p>
            <w:r>
              <w:rPr>
                <w:rFonts w:ascii="Calibri" w:hAnsi="Calibri"/>
                <w:sz w:val="22"/>
              </w:rPr>
              <w:t>$0.381</w:t>
            </w:r>
          </w:p>
        </w:tc>
        <w:tc>
          <w:tcPr>
            <w:tcW w:type="dxa" w:w="1440"/>
          </w:tcPr>
          <w:p>
            <w:r>
              <w:rPr>
                <w:rFonts w:ascii="Calibri" w:hAnsi="Calibri"/>
                <w:b/>
                <w:color w:val="30A46C"/>
                <w:sz w:val="22"/>
              </w:rPr>
              <w:t>+10.2%</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Total Revenue</w:t>
            </w:r>
          </w:p>
        </w:tc>
        <w:tc>
          <w:tcPr>
            <w:tcW w:type="dxa" w:w="1440"/>
          </w:tcPr>
          <w:p>
            <w:r>
              <w:rPr>
                <w:rFonts w:ascii="Calibri" w:hAnsi="Calibri"/>
                <w:sz w:val="22"/>
              </w:rPr>
              <w:t>$4.070B</w:t>
            </w:r>
          </w:p>
        </w:tc>
        <w:tc>
          <w:tcPr>
            <w:tcW w:type="dxa" w:w="1440"/>
          </w:tcPr>
          <w:p>
            <w:r>
              <w:rPr>
                <w:rFonts w:ascii="Calibri" w:hAnsi="Calibri"/>
                <w:sz w:val="22"/>
              </w:rPr>
              <w:t>$4.013B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$0.58</w:t>
            </w:r>
          </w:p>
        </w:tc>
        <w:tc>
          <w:tcPr>
            <w:tcW w:type="dxa" w:w="1440"/>
          </w:tcPr>
          <w:p>
            <w:r>
              <w:rPr>
                <w:rFonts w:ascii="Calibri" w:hAnsi="Calibri"/>
                <w:sz w:val="22"/>
              </w:rPr>
              <w:t>$0.571</w:t>
            </w:r>
          </w:p>
        </w:tc>
        <w:tc>
          <w:tcPr>
            <w:tcW w:type="dxa" w:w="1440"/>
          </w:tcPr>
          <w:p>
            <w:r>
              <w:rPr>
                <w:rFonts w:ascii="Calibri" w:hAnsi="Calibri"/>
                <w:b/>
                <w:color w:val="30A46C"/>
                <w:sz w:val="22"/>
              </w:rPr>
              <w:t>+1.6%</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Total Revenue</w:t>
            </w:r>
          </w:p>
        </w:tc>
        <w:tc>
          <w:tcPr>
            <w:tcW w:type="dxa" w:w="1440"/>
          </w:tcPr>
          <w:p>
            <w:r>
              <w:rPr>
                <w:rFonts w:ascii="Calibri" w:hAnsi="Calibri"/>
                <w:sz w:val="22"/>
              </w:rPr>
              <w:t>$3.891B</w:t>
            </w:r>
          </w:p>
        </w:tc>
        <w:tc>
          <w:tcPr>
            <w:tcW w:type="dxa" w:w="1440"/>
          </w:tcPr>
          <w:p>
            <w:r>
              <w:rPr>
                <w:rFonts w:ascii="Calibri" w:hAnsi="Calibri"/>
                <w:sz w:val="22"/>
              </w:rPr>
              <w:t>$3.919B</w:t>
            </w:r>
          </w:p>
        </w:tc>
        <w:tc>
          <w:tcPr>
            <w:tcW w:type="dxa" w:w="1440"/>
          </w:tcPr>
          <w:p>
            <w:r>
              <w:rPr>
                <w:rFonts w:ascii="Calibri" w:hAnsi="Calibri"/>
                <w:b/>
                <w:color w:val="E5484D"/>
                <w:sz w:val="22"/>
              </w:rPr>
              <w:t>−0.7%</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$0.51</w:t>
            </w:r>
          </w:p>
        </w:tc>
        <w:tc>
          <w:tcPr>
            <w:tcW w:type="dxa" w:w="1440"/>
          </w:tcPr>
          <w:p>
            <w:r>
              <w:rPr>
                <w:rFonts w:ascii="Calibri" w:hAnsi="Calibri"/>
                <w:sz w:val="22"/>
              </w:rPr>
              <w:t>$0.506</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Total Revenue</w:t>
            </w:r>
          </w:p>
        </w:tc>
        <w:tc>
          <w:tcPr>
            <w:tcW w:type="dxa" w:w="1440"/>
          </w:tcPr>
          <w:p>
            <w:r>
              <w:rPr>
                <w:rFonts w:ascii="Calibri" w:hAnsi="Calibri"/>
                <w:sz w:val="22"/>
              </w:rPr>
              <w:t>$3.922B</w:t>
            </w:r>
          </w:p>
        </w:tc>
        <w:tc>
          <w:tcPr>
            <w:tcW w:type="dxa" w:w="1440"/>
          </w:tcPr>
          <w:p>
            <w:r>
              <w:rPr>
                <w:rFonts w:ascii="Calibri" w:hAnsi="Calibri"/>
                <w:sz w:val="22"/>
              </w:rPr>
              <w:t>$3.914B</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Q2 2024</w:t>
            </w:r>
          </w:p>
        </w:tc>
        <w:tc>
          <w:tcPr>
            <w:tcW w:type="dxa" w:w="1440"/>
          </w:tcPr>
          <w:p>
            <w:r>
              <w:rPr>
                <w:rFonts w:ascii="Calibri" w:hAnsi="Calibri"/>
                <w:sz w:val="22"/>
              </w:rPr>
              <w:t>Adj. EPS</w:t>
            </w:r>
          </w:p>
        </w:tc>
        <w:tc>
          <w:tcPr>
            <w:tcW w:type="dxa" w:w="1440"/>
          </w:tcPr>
          <w:p>
            <w:r>
              <w:rPr>
                <w:rFonts w:ascii="Calibri" w:hAnsi="Calibri"/>
                <w:sz w:val="22"/>
              </w:rPr>
              <w:t>$0.45</w:t>
            </w:r>
          </w:p>
        </w:tc>
        <w:tc>
          <w:tcPr>
            <w:tcW w:type="dxa" w:w="1440"/>
          </w:tcPr>
          <w:p>
            <w:r>
              <w:rPr>
                <w:rFonts w:ascii="Calibri" w:hAnsi="Calibri"/>
                <w:sz w:val="22"/>
              </w:rPr>
              <w:t>$0.449</w:t>
            </w:r>
          </w:p>
        </w:tc>
        <w:tc>
          <w:tcPr>
            <w:tcW w:type="dxa" w:w="1440"/>
          </w:tcPr>
          <w:p>
            <w:r>
              <w:rPr>
                <w:rFonts w:ascii="Calibri" w:hAnsi="Calibri"/>
                <w:b/>
                <w:color w:val="30A46C"/>
                <w:sz w:val="22"/>
              </w:rPr>
              <w:t>+0.2%</w:t>
            </w:r>
          </w:p>
        </w:tc>
        <w:tc>
          <w:tcPr>
            <w:tcW w:type="dxa" w:w="1440"/>
          </w:tcPr>
          <w:p>
            <w:r>
              <w:rPr>
                <w:rFonts w:ascii="Calibri" w:hAnsi="Calibri"/>
                <w:b/>
                <w:color w:val="30A46C"/>
                <w:sz w:val="22"/>
              </w:rPr>
              <w:t>Beat</w:t>
            </w:r>
          </w:p>
        </w:tc>
      </w:tr>
    </w:tbl>
    <w:p>
      <w:r>
        <w:rPr>
          <w:rFonts w:ascii="Calibri" w:hAnsi="Calibri"/>
          <w:i/>
          <w:color w:val="525866"/>
          <w:sz w:val="22"/>
        </w:rPr>
        <w:t>Source: Visible Alpha Consensus and Actuals Data.</w:t>
      </w:r>
      <w:r>
        <w:rPr>
          <w:rFonts w:ascii="Calibri" w:hAnsi="Calibri"/>
          <w:color w:val="525866"/>
          <w:sz w:val="22"/>
        </w:rPr>
        <w:t xml:space="preserve">  KDP has beaten revenue consensus in 7 of the last 8 quarters and beaten adjusted EPS in all 8 quarters, with the sole revenue miss in Q3 2024 being modest (−0.7%). The consistent beat pattern suggests the Street tends to set a conservative bar, though the magnitude of beats has been narrowing — the Q1 2026 beat (+3.6% revenue, +5.4% EPS) was the largest in recent quarters, partly reflecting JDE Peet’s consolidation timing.</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Guidance has been </w:t>
      </w:r>
      <w:r>
        <w:rPr>
          <w:rFonts w:ascii="Calibri" w:hAnsi="Calibri"/>
          <w:b/>
          <w:color w:val="525866"/>
          <w:sz w:val="22"/>
        </w:rPr>
        <w:t>reaffirmed twice since the Q1 print</w:t>
      </w:r>
      <w:r>
        <w:rPr>
          <w:rFonts w:ascii="Calibri" w:hAnsi="Calibri"/>
          <w:b/>
          <w:color w:val="525866"/>
          <w:sz w:val="22"/>
        </w:rPr>
        <w:t xml:space="preserve"> (at the June 23 leadership announcement) with no changes to the numbers; tone is confident on Refreshment Beverages and the separation timeline, but the surprise departure of Coffee CEO Rafa Oliveira introduces execution uncertainty for Global Coffee Co.</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rPr>
                <w:rFonts w:ascii="Calibri" w:hAnsi="Calibri"/>
                <w:b/>
                <w:sz w:val="22"/>
              </w:rPr>
              <w:t>Metric</w:t>
            </w:r>
          </w:p>
        </w:tc>
        <w:tc>
          <w:tcPr>
            <w:tcW w:type="dxa" w:w="1728"/>
          </w:tcPr>
          <w:p>
            <w:r>
              <w:rPr>
                <w:rFonts w:ascii="Calibri" w:hAnsi="Calibri"/>
                <w:b/>
                <w:sz w:val="22"/>
              </w:rPr>
              <w:t>Initial Guidance (Q1 2026 Earnings Call, Apr 23, 2026)</w:t>
            </w:r>
          </w:p>
        </w:tc>
        <w:tc>
          <w:tcPr>
            <w:tcW w:type="dxa" w:w="1728"/>
          </w:tcPr>
          <w:p>
            <w:r>
              <w:rPr>
                <w:rFonts w:ascii="Calibri" w:hAnsi="Calibri"/>
                <w:b/>
                <w:sz w:val="22"/>
              </w:rPr>
              <w:t>Revised Guidance</w:t>
            </w:r>
          </w:p>
        </w:tc>
        <w:tc>
          <w:tcPr>
            <w:tcW w:type="dxa" w:w="1728"/>
          </w:tcPr>
          <w:p>
            <w:r>
              <w:rPr>
                <w:rFonts w:ascii="Calibri" w:hAnsi="Calibri"/>
                <w:b/>
                <w:sz w:val="22"/>
              </w:rPr>
              <w:t>Current Consensus</w:t>
            </w:r>
          </w:p>
        </w:tc>
        <w:tc>
          <w:tcPr>
            <w:tcW w:type="dxa" w:w="1728"/>
          </w:tcPr>
          <w:p>
            <w:r>
              <w:rPr>
                <w:rFonts w:ascii="Calibri" w:hAnsi="Calibri"/>
                <w:b/>
                <w:sz w:val="22"/>
              </w:rPr>
              <w:t>Note</w:t>
            </w:r>
          </w:p>
        </w:tc>
      </w:tr>
      <w:tr>
        <w:tc>
          <w:tcPr>
            <w:tcW w:type="dxa" w:w="1728"/>
          </w:tcPr>
          <w:p>
            <w:r>
              <w:rPr>
                <w:rFonts w:ascii="Calibri" w:hAnsi="Calibri"/>
                <w:sz w:val="22"/>
              </w:rPr>
              <w:t>FY 2026 Total Net Sales</w:t>
            </w:r>
          </w:p>
        </w:tc>
        <w:tc>
          <w:tcPr>
            <w:tcW w:type="dxa" w:w="1728"/>
          </w:tcPr>
          <w:p>
            <w:r>
              <w:rPr>
                <w:rFonts w:ascii="Calibri" w:hAnsi="Calibri"/>
                <w:sz w:val="22"/>
              </w:rPr>
              <w:t>$25.9B – $26.4B</w:t>
            </w:r>
          </w:p>
        </w:tc>
        <w:tc>
          <w:tcPr>
            <w:tcW w:type="dxa" w:w="1728"/>
          </w:tcPr>
          <w:p>
            <w:r>
              <w:rPr>
                <w:rFonts w:ascii="Calibri" w:hAnsi="Calibri"/>
                <w:sz w:val="22"/>
              </w:rPr>
              <w:t>—</w:t>
            </w:r>
          </w:p>
        </w:tc>
        <w:tc>
          <w:tcPr>
            <w:tcW w:type="dxa" w:w="1728"/>
          </w:tcPr>
          <w:p>
            <w:r>
              <w:rPr>
                <w:rFonts w:ascii="Calibri" w:hAnsi="Calibri"/>
                <w:sz w:val="22"/>
              </w:rPr>
              <w:t>$26.26B¹</w:t>
            </w:r>
          </w:p>
        </w:tc>
        <w:tc>
          <w:tcPr>
            <w:tcW w:type="dxa" w:w="1728"/>
          </w:tcPr>
          <w:p>
            <w:r>
              <w:rPr>
                <w:rFonts w:ascii="Calibri" w:hAnsi="Calibri"/>
                <w:sz w:val="22"/>
              </w:rPr>
              <w:t>Reaffirmed Jun 23, 2026 (leadership announcement 8-K); unchanged</w:t>
            </w:r>
          </w:p>
        </w:tc>
      </w:tr>
      <w:tr>
        <w:tc>
          <w:tcPr>
            <w:tcW w:type="dxa" w:w="1728"/>
          </w:tcPr>
          <w:p>
            <w:r>
              <w:rPr>
                <w:rFonts w:ascii="Calibri" w:hAnsi="Calibri"/>
                <w:sz w:val="22"/>
              </w:rPr>
              <w:t>FY 2026 Adj. EPS Growth (CC)</w:t>
            </w:r>
          </w:p>
        </w:tc>
        <w:tc>
          <w:tcPr>
            <w:tcW w:type="dxa" w:w="1728"/>
          </w:tcPr>
          <w:p>
            <w:r>
              <w:rPr>
                <w:rFonts w:ascii="Calibri" w:hAnsi="Calibri"/>
                <w:sz w:val="22"/>
              </w:rPr>
              <w:t>Low double-digit growth (CC); includes ~6–7 pp from JDE Peet’s + 4%–6% legacy KDP</w:t>
            </w:r>
          </w:p>
        </w:tc>
        <w:tc>
          <w:tcPr>
            <w:tcW w:type="dxa" w:w="1728"/>
          </w:tcPr>
          <w:p>
            <w:r>
              <w:rPr>
                <w:rFonts w:ascii="Calibri" w:hAnsi="Calibri"/>
                <w:sz w:val="22"/>
              </w:rPr>
              <w:t>—</w:t>
            </w:r>
          </w:p>
        </w:tc>
        <w:tc>
          <w:tcPr>
            <w:tcW w:type="dxa" w:w="1728"/>
          </w:tcPr>
          <w:p>
            <w:r>
              <w:rPr>
                <w:rFonts w:ascii="Calibri" w:hAnsi="Calibri"/>
                <w:sz w:val="22"/>
              </w:rPr>
              <w:t>$2.439¹ (implies ~low-double-digit growth)</w:t>
            </w:r>
          </w:p>
        </w:tc>
        <w:tc>
          <w:tcPr>
            <w:tcW w:type="dxa" w:w="1728"/>
          </w:tcPr>
          <w:p>
            <w:r>
              <w:rPr>
                <w:rFonts w:ascii="Calibri" w:hAnsi="Calibri"/>
                <w:sz w:val="22"/>
              </w:rPr>
              <w:t>Reaffirmed Jun 23, 2026; unchanged</w:t>
            </w:r>
          </w:p>
        </w:tc>
      </w:tr>
      <w:tr>
        <w:tc>
          <w:tcPr>
            <w:tcW w:type="dxa" w:w="1728"/>
          </w:tcPr>
          <w:p>
            <w:r>
              <w:rPr>
                <w:rFonts w:ascii="Calibri" w:hAnsi="Calibri"/>
                <w:sz w:val="22"/>
              </w:rPr>
              <w:t>Q2 2026 EPS Growth (CC)</w:t>
            </w:r>
          </w:p>
        </w:tc>
        <w:tc>
          <w:tcPr>
            <w:tcW w:type="dxa" w:w="1728"/>
          </w:tcPr>
          <w:p>
            <w:r>
              <w:rPr>
                <w:rFonts w:ascii="Calibri" w:hAnsi="Calibri"/>
                <w:sz w:val="22"/>
              </w:rPr>
              <w:t>High single-digit EPS growth (CC)</w:t>
            </w:r>
          </w:p>
        </w:tc>
        <w:tc>
          <w:tcPr>
            <w:tcW w:type="dxa" w:w="1728"/>
          </w:tcPr>
          <w:p>
            <w:r>
              <w:rPr>
                <w:rFonts w:ascii="Calibri" w:hAnsi="Calibri"/>
                <w:sz w:val="22"/>
              </w:rPr>
              <w:t>—</w:t>
            </w:r>
          </w:p>
        </w:tc>
        <w:tc>
          <w:tcPr>
            <w:tcW w:type="dxa" w:w="1728"/>
          </w:tcPr>
          <w:p>
            <w:r>
              <w:rPr>
                <w:rFonts w:ascii="Calibri" w:hAnsi="Calibri"/>
                <w:sz w:val="22"/>
              </w:rPr>
              <w:t>$0.575¹ (~+17% vs. Q2 2025)</w:t>
            </w:r>
          </w:p>
        </w:tc>
        <w:tc>
          <w:tcPr>
            <w:tcW w:type="dxa" w:w="1728"/>
          </w:tcPr>
          <w:p>
            <w:r>
              <w:rPr>
                <w:rFonts w:ascii="Calibri" w:hAnsi="Calibri"/>
                <w:sz w:val="22"/>
              </w:rPr>
              <w:t>No revision; consensus in line with guide</w:t>
            </w:r>
          </w:p>
        </w:tc>
      </w:tr>
      <w:tr>
        <w:tc>
          <w:tcPr>
            <w:tcW w:type="dxa" w:w="1728"/>
          </w:tcPr>
          <w:p>
            <w:r>
              <w:rPr>
                <w:rFonts w:ascii="Calibri" w:hAnsi="Calibri"/>
                <w:sz w:val="22"/>
              </w:rPr>
              <w:t>JDE Peet’s FY 2026 Revenue Contribution</w:t>
            </w:r>
          </w:p>
        </w:tc>
        <w:tc>
          <w:tcPr>
            <w:tcW w:type="dxa" w:w="1728"/>
          </w:tcPr>
          <w:p>
            <w:r>
              <w:rPr>
                <w:rFonts w:ascii="Calibri" w:hAnsi="Calibri"/>
                <w:sz w:val="22"/>
              </w:rPr>
              <w:t>$8.5B – $8.7B</w:t>
            </w:r>
          </w:p>
        </w:tc>
        <w:tc>
          <w:tcPr>
            <w:tcW w:type="dxa" w:w="1728"/>
          </w:tcPr>
          <w:p>
            <w:r>
              <w:rPr>
                <w:rFonts w:ascii="Calibri" w:hAnsi="Calibri"/>
                <w:sz w:val="22"/>
              </w:rPr>
              <w:t>—</w:t>
            </w:r>
          </w:p>
        </w:tc>
        <w:tc>
          <w:tcPr>
            <w:tcW w:type="dxa" w:w="1728"/>
          </w:tcPr>
          <w:p>
            <w:r>
              <w:rPr>
                <w:rFonts w:ascii="Calibri" w:hAnsi="Calibri"/>
                <w:sz w:val="22"/>
              </w:rPr>
              <w:t>$8.613B¹</w:t>
            </w:r>
          </w:p>
        </w:tc>
        <w:tc>
          <w:tcPr>
            <w:tcW w:type="dxa" w:w="1728"/>
          </w:tcPr>
          <w:p>
            <w:r>
              <w:rPr>
                <w:rFonts w:ascii="Calibri" w:hAnsi="Calibri"/>
                <w:sz w:val="22"/>
              </w:rPr>
              <w:t>Unchanged; consensus at low end of range</w:t>
            </w:r>
          </w:p>
        </w:tc>
      </w:tr>
      <w:tr>
        <w:tc>
          <w:tcPr>
            <w:tcW w:type="dxa" w:w="1728"/>
          </w:tcPr>
          <w:p>
            <w:r>
              <w:rPr>
                <w:rFonts w:ascii="Calibri" w:hAnsi="Calibri"/>
                <w:sz w:val="22"/>
              </w:rPr>
              <w:t>FY 2026 Free Cash Flow (Aggregate)</w:t>
            </w:r>
          </w:p>
        </w:tc>
        <w:tc>
          <w:tcPr>
            <w:tcW w:type="dxa" w:w="1728"/>
          </w:tcPr>
          <w:p>
            <w:r>
              <w:rPr>
                <w:rFonts w:ascii="Calibri" w:hAnsi="Calibri"/>
                <w:sz w:val="22"/>
              </w:rPr>
              <w:t>~$2.5B aggregate (legacy KDP ~$2.0B)</w:t>
            </w:r>
          </w:p>
        </w:tc>
        <w:tc>
          <w:tcPr>
            <w:tcW w:type="dxa" w:w="1728"/>
          </w:tcPr>
          <w:p>
            <w:r>
              <w:rPr>
                <w:rFonts w:ascii="Calibri" w:hAnsi="Calibri"/>
                <w:sz w:val="22"/>
              </w:rPr>
              <w:t>—</w:t>
            </w:r>
          </w:p>
        </w:tc>
        <w:tc>
          <w:tcPr>
            <w:tcW w:type="dxa" w:w="1728"/>
          </w:tcPr>
          <w:p>
            <w:r>
              <w:rPr>
                <w:rFonts w:ascii="Calibri" w:hAnsi="Calibri"/>
                <w:sz w:val="22"/>
              </w:rPr>
              <w:t>$2.626B¹</w:t>
            </w:r>
          </w:p>
        </w:tc>
        <w:tc>
          <w:tcPr>
            <w:tcW w:type="dxa" w:w="1728"/>
          </w:tcPr>
          <w:p>
            <w:r>
              <w:rPr>
                <w:rFonts w:ascii="Calibri" w:hAnsi="Calibri"/>
                <w:sz w:val="22"/>
              </w:rPr>
              <w:t>Unchanged; consensus slightly above midpoint</w:t>
            </w:r>
          </w:p>
        </w:tc>
      </w:tr>
      <w:tr>
        <w:tc>
          <w:tcPr>
            <w:tcW w:type="dxa" w:w="1728"/>
          </w:tcPr>
          <w:p>
            <w:r>
              <w:rPr>
                <w:rFonts w:ascii="Calibri" w:hAnsi="Calibri"/>
                <w:sz w:val="22"/>
              </w:rPr>
              <w:t>Net Leverage (Midyear 2026)</w:t>
            </w:r>
          </w:p>
        </w:tc>
        <w:tc>
          <w:tcPr>
            <w:tcW w:type="dxa" w:w="1728"/>
          </w:tcPr>
          <w:p>
            <w:r>
              <w:rPr>
                <w:rFonts w:ascii="Calibri" w:hAnsi="Calibri"/>
                <w:sz w:val="22"/>
              </w:rPr>
              <w:t>~4.5x at midyear</w:t>
            </w:r>
          </w:p>
        </w:tc>
        <w:tc>
          <w:tcPr>
            <w:tcW w:type="dxa" w:w="1728"/>
          </w:tcPr>
          <w:p>
            <w:r>
              <w:rPr>
                <w:rFonts w:ascii="Calibri" w:hAnsi="Calibri"/>
                <w:sz w:val="22"/>
              </w:rPr>
              <w:t>—</w:t>
            </w:r>
          </w:p>
        </w:tc>
        <w:tc>
          <w:tcPr>
            <w:tcW w:type="dxa" w:w="1728"/>
          </w:tcPr>
          <w:p>
            <w:r>
              <w:rPr>
                <w:rFonts w:ascii="Calibri" w:hAnsi="Calibri"/>
                <w:sz w:val="22"/>
              </w:rPr>
              <w:t>N/A — not in VA</w:t>
            </w:r>
          </w:p>
        </w:tc>
        <w:tc>
          <w:tcPr>
            <w:tcW w:type="dxa" w:w="1728"/>
          </w:tcPr>
          <w:p>
            <w:r>
              <w:rPr>
                <w:rFonts w:ascii="Calibri" w:hAnsi="Calibri"/>
                <w:sz w:val="22"/>
              </w:rPr>
              <w:t>Key metric to watch in Q2 print; management will update year-end target</w:t>
            </w:r>
          </w:p>
        </w:tc>
      </w:tr>
      <w:tr>
        <w:tc>
          <w:tcPr>
            <w:tcW w:type="dxa" w:w="1728"/>
          </w:tcPr>
          <w:p>
            <w:r>
              <w:rPr>
                <w:rFonts w:ascii="Calibri" w:hAnsi="Calibri"/>
                <w:sz w:val="22"/>
              </w:rPr>
              <w:t>Separation Timeline</w:t>
            </w:r>
          </w:p>
        </w:tc>
        <w:tc>
          <w:tcPr>
            <w:tcW w:type="dxa" w:w="1728"/>
          </w:tcPr>
          <w:p>
            <w:r>
              <w:rPr>
                <w:rFonts w:ascii="Calibri" w:hAnsi="Calibri"/>
                <w:sz w:val="22"/>
              </w:rPr>
              <w:t>Operational readiness by end of 2026; official separation early 2027</w:t>
            </w:r>
          </w:p>
        </w:tc>
        <w:tc>
          <w:tcPr>
            <w:tcW w:type="dxa" w:w="1728"/>
          </w:tcPr>
          <w:p>
            <w:r>
              <w:rPr>
                <w:rFonts w:ascii="Calibri" w:hAnsi="Calibri"/>
                <w:sz w:val="22"/>
              </w:rPr>
              <w:t>CEO search underway for Global Coffee Co. (Oliveira departure Jun 23)</w:t>
            </w:r>
          </w:p>
        </w:tc>
        <w:tc>
          <w:tcPr>
            <w:tcW w:type="dxa" w:w="1728"/>
          </w:tcPr>
          <w:p>
            <w:r>
              <w:rPr>
                <w:rFonts w:ascii="Calibri" w:hAnsi="Calibri"/>
                <w:sz w:val="22"/>
              </w:rPr>
              <w:t>N/A</w:t>
            </w:r>
          </w:p>
        </w:tc>
        <w:tc>
          <w:tcPr>
            <w:tcW w:type="dxa" w:w="1728"/>
          </w:tcPr>
          <w:p>
            <w:r>
              <w:rPr>
                <w:rFonts w:ascii="Calibri" w:hAnsi="Calibri"/>
                <w:sz w:val="22"/>
              </w:rPr>
              <w:t>⚠ Leadership risk: Oliveira departure adds uncertainty; Board search led by Chairman Patsley</w:t>
            </w:r>
          </w:p>
        </w:tc>
      </w:tr>
    </w:tbl>
    <w:p>
      <w:r>
        <w:rPr>
          <w:rFonts w:ascii="Calibri" w:hAnsi="Calibri"/>
          <w:i/>
          <w:color w:val="525866"/>
          <w:sz w:val="22"/>
        </w:rPr>
        <w:t>¹ Source: Visible Alpha Consensus and Actuals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Estimates have been essentially flat since the Q1 2026 print — Q2 EPS consensus moved only +$0.001 and FY EPS moved +$0.007 — indicating the Street has fully absorbed management’s phasing commentary with no incremental revision risk in either direction heading into the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tcPr>
          <w:p>
            <w:r>
              <w:rPr>
                <w:rFonts w:ascii="Calibri" w:hAnsi="Calibri"/>
                <w:b/>
                <w:sz w:val="22"/>
              </w:rPr>
              <w:t>KPI (Period)</w:t>
            </w:r>
          </w:p>
        </w:tc>
        <w:tc>
          <w:tcPr>
            <w:tcW w:type="dxa" w:w="1080"/>
          </w:tcPr>
          <w:p>
            <w:r>
              <w:rPr>
                <w:rFonts w:ascii="Calibri" w:hAnsi="Calibri"/>
                <w:b/>
                <w:sz w:val="22"/>
              </w:rPr>
              <w:t>Estimate ~5 Days Post Q1 Earnings (as of Apr 28, 2026)</w:t>
            </w:r>
          </w:p>
        </w:tc>
        <w:tc>
          <w:tcPr>
            <w:tcW w:type="dxa" w:w="1080"/>
          </w:tcPr>
          <w:p>
            <w:r>
              <w:rPr>
                <w:rFonts w:ascii="Calibri" w:hAnsi="Calibri"/>
                <w:b/>
                <w:sz w:val="22"/>
              </w:rPr>
              <w:t>Current Consensus (Aug 5, 2026)</w:t>
            </w:r>
          </w:p>
        </w:tc>
        <w:tc>
          <w:tcPr>
            <w:tcW w:type="dxa" w:w="1080"/>
          </w:tcPr>
          <w:p>
            <w:r>
              <w:rPr>
                <w:rFonts w:ascii="Calibri" w:hAnsi="Calibri"/>
                <w:b/>
                <w:sz w:val="22"/>
              </w:rPr>
              <w:t>Estimate Δ (%)</w:t>
            </w:r>
          </w:p>
        </w:tc>
        <w:tc>
          <w:tcPr>
            <w:tcW w:type="dxa" w:w="1080"/>
          </w:tcPr>
          <w:p>
            <w:r>
              <w:rPr>
                <w:rFonts w:ascii="Calibri" w:hAnsi="Calibri"/>
                <w:b/>
                <w:sz w:val="22"/>
              </w:rPr>
              <w:t>Initial Guidance (Q1 Call)</w:t>
            </w:r>
          </w:p>
        </w:tc>
        <w:tc>
          <w:tcPr>
            <w:tcW w:type="dxa" w:w="1080"/>
          </w:tcPr>
          <w:p>
            <w:r>
              <w:rPr>
                <w:rFonts w:ascii="Calibri" w:hAnsi="Calibri"/>
                <w:b/>
                <w:sz w:val="22"/>
              </w:rPr>
              <w:t>Current Guidance</w:t>
            </w:r>
          </w:p>
        </w:tc>
        <w:tc>
          <w:tcPr>
            <w:tcW w:type="dxa" w:w="1080"/>
          </w:tcPr>
          <w:p>
            <w:r>
              <w:rPr>
                <w:rFonts w:ascii="Calibri" w:hAnsi="Calibri"/>
                <w:b/>
                <w:sz w:val="22"/>
              </w:rPr>
              <w:t>Guidance Δ</w:t>
            </w:r>
          </w:p>
        </w:tc>
        <w:tc>
          <w:tcPr>
            <w:tcW w:type="dxa" w:w="1080"/>
          </w:tcPr>
          <w:p>
            <w:r>
              <w:rPr>
                <w:rFonts w:ascii="Calibri" w:hAnsi="Calibri"/>
                <w:b/>
                <w:sz w:val="22"/>
              </w:rPr>
              <w:t>Consensus vs. Guidance (%)</w:t>
            </w:r>
          </w:p>
        </w:tc>
      </w:tr>
      <w:tr>
        <w:tc>
          <w:tcPr>
            <w:tcW w:type="dxa" w:w="1080"/>
          </w:tcPr>
          <w:p>
            <w:r>
              <w:rPr>
                <w:rFonts w:ascii="Calibri" w:hAnsi="Calibri"/>
                <w:sz w:val="22"/>
              </w:rPr>
              <w:t>Total Revenue — Q2 2026</w:t>
            </w:r>
          </w:p>
        </w:tc>
        <w:tc>
          <w:tcPr>
            <w:tcW w:type="dxa" w:w="1080"/>
          </w:tcPr>
          <w:p>
            <w:r>
              <w:rPr>
                <w:rFonts w:ascii="Calibri" w:hAnsi="Calibri"/>
                <w:sz w:val="22"/>
              </w:rPr>
              <w:t>$7.268B¹</w:t>
            </w:r>
          </w:p>
        </w:tc>
        <w:tc>
          <w:tcPr>
            <w:tcW w:type="dxa" w:w="1080"/>
          </w:tcPr>
          <w:p>
            <w:r>
              <w:rPr>
                <w:rFonts w:ascii="Calibri" w:hAnsi="Calibri"/>
                <w:sz w:val="22"/>
              </w:rPr>
              <w:t>$7.245B¹</w:t>
            </w:r>
          </w:p>
        </w:tc>
        <w:tc>
          <w:tcPr>
            <w:tcW w:type="dxa" w:w="1080"/>
          </w:tcPr>
          <w:p>
            <w:r>
              <w:rPr>
                <w:rFonts w:ascii="Calibri" w:hAnsi="Calibri"/>
                <w:sz w:val="22"/>
              </w:rPr>
              <w:t>−0.3%</w:t>
            </w:r>
          </w:p>
        </w:tc>
        <w:tc>
          <w:tcPr>
            <w:tcW w:type="dxa" w:w="1080"/>
          </w:tcPr>
          <w:p>
            <w:r>
              <w:rPr>
                <w:rFonts w:ascii="Calibri" w:hAnsi="Calibri"/>
                <w:sz w:val="22"/>
              </w:rPr>
              <w:t>$25.9B–$26.4B FY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FY run-rate</w:t>
            </w:r>
          </w:p>
        </w:tc>
      </w:tr>
      <w:tr>
        <w:tc>
          <w:tcPr>
            <w:tcW w:type="dxa" w:w="1080"/>
          </w:tcPr>
          <w:p>
            <w:r>
              <w:rPr>
                <w:rFonts w:ascii="Calibri" w:hAnsi="Calibri"/>
                <w:sz w:val="22"/>
              </w:rPr>
              <w:t>Total Revenue — FY 2026</w:t>
            </w:r>
          </w:p>
        </w:tc>
        <w:tc>
          <w:tcPr>
            <w:tcW w:type="dxa" w:w="1080"/>
          </w:tcPr>
          <w:p>
            <w:r>
              <w:rPr>
                <w:rFonts w:ascii="Calibri" w:hAnsi="Calibri"/>
                <w:sz w:val="22"/>
              </w:rPr>
              <w:t>$26.270B¹</w:t>
            </w:r>
          </w:p>
        </w:tc>
        <w:tc>
          <w:tcPr>
            <w:tcW w:type="dxa" w:w="1080"/>
          </w:tcPr>
          <w:p>
            <w:r>
              <w:rPr>
                <w:rFonts w:ascii="Calibri" w:hAnsi="Calibri"/>
                <w:sz w:val="22"/>
              </w:rPr>
              <w:t>$26.264B¹</w:t>
            </w:r>
          </w:p>
        </w:tc>
        <w:tc>
          <w:tcPr>
            <w:tcW w:type="dxa" w:w="1080"/>
          </w:tcPr>
          <w:p>
            <w:r>
              <w:rPr>
                <w:rFonts w:ascii="Calibri" w:hAnsi="Calibri"/>
                <w:sz w:val="22"/>
              </w:rPr>
              <w:t>−0.02%</w:t>
            </w:r>
          </w:p>
        </w:tc>
        <w:tc>
          <w:tcPr>
            <w:tcW w:type="dxa" w:w="1080"/>
          </w:tcPr>
          <w:p>
            <w:r>
              <w:rPr>
                <w:rFonts w:ascii="Calibri" w:hAnsi="Calibri"/>
                <w:sz w:val="22"/>
              </w:rPr>
              <w:t>$25.9B–$26.4B</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Midpoint: ~$26.15B; consensus at midpoint</w:t>
            </w:r>
          </w:p>
        </w:tc>
      </w:tr>
      <w:tr>
        <w:tc>
          <w:tcPr>
            <w:tcW w:type="dxa" w:w="1080"/>
          </w:tcPr>
          <w:p>
            <w:r>
              <w:rPr>
                <w:rFonts w:ascii="Calibri" w:hAnsi="Calibri"/>
                <w:sz w:val="22"/>
              </w:rPr>
              <w:t>Adj. EPS — Q2 2026</w:t>
            </w:r>
          </w:p>
        </w:tc>
        <w:tc>
          <w:tcPr>
            <w:tcW w:type="dxa" w:w="1080"/>
          </w:tcPr>
          <w:p>
            <w:r>
              <w:rPr>
                <w:rFonts w:ascii="Calibri" w:hAnsi="Calibri"/>
                <w:sz w:val="22"/>
              </w:rPr>
              <w:t>$0.574¹</w:t>
            </w:r>
          </w:p>
        </w:tc>
        <w:tc>
          <w:tcPr>
            <w:tcW w:type="dxa" w:w="1080"/>
          </w:tcPr>
          <w:p>
            <w:r>
              <w:rPr>
                <w:rFonts w:ascii="Calibri" w:hAnsi="Calibri"/>
                <w:sz w:val="22"/>
              </w:rPr>
              <w:t>$0.575¹</w:t>
            </w:r>
          </w:p>
        </w:tc>
        <w:tc>
          <w:tcPr>
            <w:tcW w:type="dxa" w:w="1080"/>
          </w:tcPr>
          <w:p>
            <w:r>
              <w:rPr>
                <w:rFonts w:ascii="Calibri" w:hAnsi="Calibri"/>
                <w:sz w:val="22"/>
              </w:rPr>
              <w:t>+0.2%</w:t>
            </w:r>
          </w:p>
        </w:tc>
        <w:tc>
          <w:tcPr>
            <w:tcW w:type="dxa" w:w="1080"/>
          </w:tcPr>
          <w:p>
            <w:r>
              <w:rPr>
                <w:rFonts w:ascii="Calibri" w:hAnsi="Calibri"/>
                <w:sz w:val="22"/>
              </w:rPr>
              <w:t>High single-digit EPS growth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~+17% vs. Q2 2025; in line with guide</w:t>
            </w:r>
          </w:p>
        </w:tc>
      </w:tr>
      <w:tr>
        <w:tc>
          <w:tcPr>
            <w:tcW w:type="dxa" w:w="1080"/>
          </w:tcPr>
          <w:p>
            <w:r>
              <w:rPr>
                <w:rFonts w:ascii="Calibri" w:hAnsi="Calibri"/>
                <w:sz w:val="22"/>
              </w:rPr>
              <w:t>Adj. EPS — FY 2026</w:t>
            </w:r>
          </w:p>
        </w:tc>
        <w:tc>
          <w:tcPr>
            <w:tcW w:type="dxa" w:w="1080"/>
          </w:tcPr>
          <w:p>
            <w:r>
              <w:rPr>
                <w:rFonts w:ascii="Calibri" w:hAnsi="Calibri"/>
                <w:sz w:val="22"/>
              </w:rPr>
              <w:t>$2.432¹</w:t>
            </w:r>
          </w:p>
        </w:tc>
        <w:tc>
          <w:tcPr>
            <w:tcW w:type="dxa" w:w="1080"/>
          </w:tcPr>
          <w:p>
            <w:r>
              <w:rPr>
                <w:rFonts w:ascii="Calibri" w:hAnsi="Calibri"/>
                <w:sz w:val="22"/>
              </w:rPr>
              <w:t>$2.439¹</w:t>
            </w:r>
          </w:p>
        </w:tc>
        <w:tc>
          <w:tcPr>
            <w:tcW w:type="dxa" w:w="1080"/>
          </w:tcPr>
          <w:p>
            <w:r>
              <w:rPr>
                <w:rFonts w:ascii="Calibri" w:hAnsi="Calibri"/>
                <w:sz w:val="22"/>
              </w:rPr>
              <w:t>+0.3%</w:t>
            </w:r>
          </w:p>
        </w:tc>
        <w:tc>
          <w:tcPr>
            <w:tcW w:type="dxa" w:w="1080"/>
          </w:tcPr>
          <w:p>
            <w:r>
              <w:rPr>
                <w:rFonts w:ascii="Calibri" w:hAnsi="Calibri"/>
                <w:sz w:val="22"/>
              </w:rPr>
              <w:t>Low double-digit growth (CC)</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In line with guide</w:t>
            </w:r>
          </w:p>
        </w:tc>
      </w:tr>
      <w:tr>
        <w:tc>
          <w:tcPr>
            <w:tcW w:type="dxa" w:w="1080"/>
          </w:tcPr>
          <w:p>
            <w:r>
              <w:rPr>
                <w:rFonts w:ascii="Calibri" w:hAnsi="Calibri"/>
                <w:sz w:val="22"/>
              </w:rPr>
              <w:t>Operating Income — Q2 2026</w:t>
            </w:r>
          </w:p>
        </w:tc>
        <w:tc>
          <w:tcPr>
            <w:tcW w:type="dxa" w:w="1080"/>
          </w:tcPr>
          <w:p>
            <w:r>
              <w:rPr>
                <w:rFonts w:ascii="Calibri" w:hAnsi="Calibri"/>
                <w:sz w:val="22"/>
              </w:rPr>
              <w:t>$1.402B¹</w:t>
            </w:r>
          </w:p>
        </w:tc>
        <w:tc>
          <w:tcPr>
            <w:tcW w:type="dxa" w:w="1080"/>
          </w:tcPr>
          <w:p>
            <w:r>
              <w:rPr>
                <w:rFonts w:ascii="Calibri" w:hAnsi="Calibri"/>
                <w:sz w:val="22"/>
              </w:rPr>
              <w:t>$1.404B¹</w:t>
            </w:r>
          </w:p>
        </w:tc>
        <w:tc>
          <w:tcPr>
            <w:tcW w:type="dxa" w:w="1080"/>
          </w:tcPr>
          <w:p>
            <w:r>
              <w:rPr>
                <w:rFonts w:ascii="Calibri" w:hAnsi="Calibri"/>
                <w:sz w:val="22"/>
              </w:rPr>
              <w:t>+0.1%</w:t>
            </w:r>
          </w:p>
        </w:tc>
        <w:tc>
          <w:tcPr>
            <w:tcW w:type="dxa" w:w="1080"/>
          </w:tcPr>
          <w:p>
            <w:r>
              <w:rPr>
                <w:rFonts w:ascii="Calibri" w:hAnsi="Calibri"/>
                <w:sz w:val="22"/>
              </w:rPr>
              <w:t>N/A — not guided explicitly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Free Cash Flow — FY 2026</w:t>
            </w:r>
          </w:p>
        </w:tc>
        <w:tc>
          <w:tcPr>
            <w:tcW w:type="dxa" w:w="1080"/>
          </w:tcPr>
          <w:p>
            <w:r>
              <w:rPr>
                <w:rFonts w:ascii="Calibri" w:hAnsi="Calibri"/>
                <w:sz w:val="22"/>
              </w:rPr>
              <w:t>$2.653B¹</w:t>
            </w:r>
          </w:p>
        </w:tc>
        <w:tc>
          <w:tcPr>
            <w:tcW w:type="dxa" w:w="1080"/>
          </w:tcPr>
          <w:p>
            <w:r>
              <w:rPr>
                <w:rFonts w:ascii="Calibri" w:hAnsi="Calibri"/>
                <w:sz w:val="22"/>
              </w:rPr>
              <w:t>$2.626B¹</w:t>
            </w:r>
          </w:p>
        </w:tc>
        <w:tc>
          <w:tcPr>
            <w:tcW w:type="dxa" w:w="1080"/>
          </w:tcPr>
          <w:p>
            <w:r>
              <w:rPr>
                <w:rFonts w:ascii="Calibri" w:hAnsi="Calibri"/>
                <w:sz w:val="22"/>
              </w:rPr>
              <w:t>−1.0%</w:t>
            </w:r>
          </w:p>
        </w:tc>
        <w:tc>
          <w:tcPr>
            <w:tcW w:type="dxa" w:w="1080"/>
          </w:tcPr>
          <w:p>
            <w:r>
              <w:rPr>
                <w:rFonts w:ascii="Calibri" w:hAnsi="Calibri"/>
                <w:sz w:val="22"/>
              </w:rPr>
              <w:t>~$2.5B aggregate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Consensus above guide midpoint; modest cushion</w:t>
            </w:r>
          </w:p>
        </w:tc>
      </w:tr>
    </w:tbl>
    <w:p>
      <w:r>
        <w:rPr>
          <w:rFonts w:ascii="Calibri" w:hAnsi="Calibri"/>
          <w:i/>
          <w:color w:val="525866"/>
          <w:sz w:val="22"/>
        </w:rPr>
        <w:t>¹ Source: Visible Alpha Consensus and Actuals Data. Post-Q1 baseline uses consensus as of April 28, 2026 (5 trading days after the April 23 print).</w:t>
      </w:r>
    </w:p>
    <w:p>
      <w:r>
        <w:rPr>
          <w:rFonts w:ascii="Calibri" w:hAnsi="Calibri"/>
          <w:color w:val="525866"/>
          <w:sz w:val="22"/>
        </w:rPr>
        <w:t>Estimates are tracking guidance almost perfectly with virtually no revision drift since the Q1 print. The near-zero delta across all KPIs suggests the Street has high confidence in management’s phasing commentary and is not pricing in either upside or downside surprises. The slight FCF consensus-above-guide gap ($2.626B vs. ~$2.5B guide) represents a modest cushion that could be a positive catalyst if Q2 cash generation tracks ahead of plan.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KDP has outperformed XLP (+7.8% vs. +2.2%) since the Q1 print but lagged the S&amp;P 500 (+8.7%), with the re-rating driven primarily by </w:t>
      </w:r>
      <w:r>
        <w:rPr>
          <w:rFonts w:ascii="Calibri" w:hAnsi="Calibri"/>
          <w:b/>
          <w:color w:val="525866"/>
          <w:sz w:val="22"/>
        </w:rPr>
        <w:t>multiple expansion on separation optionality</w:t>
      </w:r>
      <w:r>
        <w:rPr>
          <w:rFonts w:ascii="Calibri" w:hAnsi="Calibri"/>
          <w:b/>
          <w:color w:val="525866"/>
          <w:sz w:val="22"/>
        </w:rPr>
        <w:t xml:space="preserve"> rather than estimate revisions (which were flat); the stock is not stretched but is no longer cheap.</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KDP vs. XLP (Consumer Staples ETF) vs. S&amp;P 500 (SPY) — Indexed to 100 at Q1 2026 Earnings Date (April 23, 2026). Source: Stock Price Data.</w:t>
      </w:r>
    </w:p>
    <w:p>
      <w:r>
        <w:rPr>
          <w:rFonts w:ascii="Calibri" w:hAnsi="Calibri"/>
          <w:color w:val="525866"/>
          <w:sz w:val="22"/>
        </w:rPr>
        <w:t>Since the Q1 2026 earnings release on April 23, KDP has risen from $28.53 to $30.75 (+7.8%), outperforming the Consumer Staples ETF (XLP: +2.2%) but lagging the S&amp;P 500 (SPY: +8.7%). The re-rating reflects growing investor confidence in the separation thesis and management’s execution on the JDE Peet’s integration, rather than estimate revisions (which were essentially flat). Key events during the period include: the June 11 filing of JDE Peet’s acquisition financials and pro forma data (8-K/A), the June 18 shareholder meeting approving all proposals, and the June 23 leadership announcement (Oliveira departure + guidance reaffirmation). The stock dipped modestly around the Oliveira news but recovered quickly, suggesting the market viewed the guidance reaffirmation as more important than the leadership change. At ~$30.75, KDP trades at approximately 12.6x FY 2026 consensus EPS of $2.44, a discount to its historical average and to large-cap consumer staples peers, which continues to reflect execution risk on the two-step transaction.</w:t>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 xml:space="preserve">The most important development since the Q1 print is the </w:t>
      </w:r>
      <w:r>
        <w:rPr>
          <w:rFonts w:ascii="Calibri" w:hAnsi="Calibri"/>
          <w:b/>
          <w:color w:val="525866"/>
          <w:sz w:val="22"/>
        </w:rPr>
        <w:t>surprise departure of Coffee CEO Rafa Oliveira</w:t>
      </w:r>
      <w:r>
        <w:rPr>
          <w:rFonts w:ascii="Calibri" w:hAnsi="Calibri"/>
          <w:b/>
          <w:color w:val="525866"/>
          <w:sz w:val="22"/>
        </w:rPr>
        <w:t xml:space="preserve"> (June 23), which introduces leadership uncertainty for Global Coffee Co. ahead of the planned early-2027 separation; the simultaneous guidance reaffirmation partially offset the negative signal.</w:t>
      </w:r>
    </w:p>
    <w:p>
      <w:pPr>
        <w:pStyle w:val="ListBullet"/>
        <w:ind w:left="360" w:hanging="360"/>
      </w:pPr>
      <w:r>
        <w:rPr>
          <w:rFonts w:ascii="Calibri" w:hAnsi="Calibri"/>
          <w:b/>
          <w:color w:val="525866"/>
          <w:sz w:val="22"/>
        </w:rPr>
        <w:t>June 23, 2026 — Coffee Operating Unit CEO Rafa Oliveira announces departure (effective end of July).</w:t>
      </w:r>
      <w:r>
        <w:rPr>
          <w:rFonts w:ascii="Calibri" w:hAnsi="Calibri"/>
          <w:color w:val="525866"/>
          <w:sz w:val="22"/>
        </w:rPr>
        <w:t xml:space="preserve"> Oliveira, who was designated as the future CEO of Global Coffee Co., informed the Board of his intention to leave for an external CEO opportunity. Tim Cofer will oversee the coffee business in the interim while the Board (led by Chairman Pamela Patsley) conducts a CEO search. </w:t>
      </w:r>
      <w:r>
        <w:rPr>
          <w:rFonts w:ascii="Calibri" w:hAnsi="Calibri"/>
          <w:b/>
          <w:color w:val="525866"/>
          <w:sz w:val="22"/>
        </w:rPr>
        <w:t>Implication:</w:t>
      </w:r>
      <w:r>
        <w:rPr>
          <w:rFonts w:ascii="Calibri" w:hAnsi="Calibri"/>
          <w:color w:val="525866"/>
          <w:sz w:val="22"/>
        </w:rPr>
        <w:t xml:space="preserve"> Adds execution risk to the separation timeline and raises questions about Global Coffee Co.’s standalone leadership credibility; however, KDP simultaneously reaffirmed FY 2026 guidance, limiting the negative read-through.</w:t>
      </w:r>
    </w:p>
    <w:p>
      <w:pPr>
        <w:pStyle w:val="ListBullet"/>
        <w:ind w:left="360" w:hanging="360"/>
      </w:pPr>
      <w:r>
        <w:rPr>
          <w:rFonts w:ascii="Calibri" w:hAnsi="Calibri"/>
          <w:b/>
          <w:color w:val="525866"/>
          <w:sz w:val="22"/>
        </w:rPr>
        <w:t>June 23, 2026 — KDP reaffirms FY 2026 guidance.</w:t>
      </w:r>
      <w:r>
        <w:rPr>
          <w:rFonts w:ascii="Calibri" w:hAnsi="Calibri"/>
          <w:color w:val="525866"/>
          <w:sz w:val="22"/>
        </w:rPr>
        <w:t xml:space="preserve"> Net sales of $25.9B–$26.4B and constant currency adjusted diluted EPS growth in a low-double-digit range reaffirmed in connection with the leadership announcement. </w:t>
      </w:r>
      <w:r>
        <w:rPr>
          <w:rFonts w:ascii="Calibri" w:hAnsi="Calibri"/>
          <w:b/>
          <w:color w:val="525866"/>
          <w:sz w:val="22"/>
        </w:rPr>
        <w:t>Implication:</w:t>
      </w:r>
      <w:r>
        <w:rPr>
          <w:rFonts w:ascii="Calibri" w:hAnsi="Calibri"/>
          <w:color w:val="525866"/>
          <w:sz w:val="22"/>
        </w:rPr>
        <w:t xml:space="preserve"> Signals management confidence that Q2 is tracking in line with the high-single-digit EPS growth phasing guide.</w:t>
      </w:r>
    </w:p>
    <w:p>
      <w:pPr>
        <w:pStyle w:val="ListBullet"/>
        <w:ind w:left="360" w:hanging="360"/>
      </w:pPr>
      <w:r>
        <w:rPr>
          <w:rFonts w:ascii="Calibri" w:hAnsi="Calibri"/>
          <w:b/>
          <w:color w:val="525866"/>
          <w:sz w:val="22"/>
        </w:rPr>
        <w:t>June 25, 2026 — KDP announces Q2 2026 earnings date and Principal Accounting Officer retirement.</w:t>
      </w:r>
      <w:r>
        <w:rPr>
          <w:rFonts w:ascii="Calibri" w:hAnsi="Calibri"/>
          <w:color w:val="525866"/>
          <w:sz w:val="22"/>
        </w:rPr>
        <w:t xml:space="preserve"> Angela Stephens (Senior VP &amp; Controller) to retire post-business separation. </w:t>
      </w:r>
      <w:r>
        <w:rPr>
          <w:rFonts w:ascii="Calibri" w:hAnsi="Calibri"/>
          <w:b/>
          <w:color w:val="525866"/>
          <w:sz w:val="22"/>
        </w:rPr>
        <w:t>Implication:</w:t>
      </w:r>
      <w:r>
        <w:rPr>
          <w:rFonts w:ascii="Calibri" w:hAnsi="Calibri"/>
          <w:color w:val="525866"/>
          <w:sz w:val="22"/>
        </w:rPr>
        <w:t xml:space="preserve"> Routine transition tied to the separation; not a negative signal on business performance.</w:t>
      </w:r>
    </w:p>
    <w:p>
      <w:pPr>
        <w:pStyle w:val="ListBullet"/>
        <w:ind w:left="360" w:hanging="360"/>
      </w:pPr>
      <w:r>
        <w:rPr>
          <w:rFonts w:ascii="Calibri" w:hAnsi="Calibri"/>
          <w:b/>
          <w:color w:val="525866"/>
          <w:sz w:val="22"/>
        </w:rPr>
        <w:t>June 18, 2026 — KDP shareholders approve all proposals at Annual Meeting.</w:t>
      </w:r>
      <w:r>
        <w:rPr>
          <w:rFonts w:ascii="Calibri" w:hAnsi="Calibri"/>
          <w:color w:val="525866"/>
          <w:sz w:val="22"/>
        </w:rPr>
        <w:t xml:space="preserve"> All director nominees elected and all management proposals approved. </w:t>
      </w:r>
      <w:r>
        <w:rPr>
          <w:rFonts w:ascii="Calibri" w:hAnsi="Calibri"/>
          <w:b/>
          <w:color w:val="525866"/>
          <w:sz w:val="22"/>
        </w:rPr>
        <w:t>Implication:</w:t>
      </w:r>
      <w:r>
        <w:rPr>
          <w:rFonts w:ascii="Calibri" w:hAnsi="Calibri"/>
          <w:color w:val="525866"/>
          <w:sz w:val="22"/>
        </w:rPr>
        <w:t xml:space="preserve"> Removes governance overhang; confirms shareholder support for the separation strategy.</w:t>
      </w:r>
    </w:p>
    <w:p>
      <w:pPr>
        <w:pStyle w:val="ListBullet"/>
        <w:ind w:left="360" w:hanging="360"/>
      </w:pPr>
      <w:r>
        <w:rPr>
          <w:rFonts w:ascii="Calibri" w:hAnsi="Calibri"/>
          <w:b/>
          <w:color w:val="525866"/>
          <w:sz w:val="22"/>
        </w:rPr>
        <w:t>June 11, 2026 — KDP files JDE Peet’s acquisition financials and pro forma data (8-K/A).</w:t>
      </w:r>
      <w:r>
        <w:rPr>
          <w:rFonts w:ascii="Calibri" w:hAnsi="Calibri"/>
          <w:color w:val="525866"/>
          <w:sz w:val="22"/>
        </w:rPr>
        <w:t xml:space="preserve"> Audited financial statements and pro forma combined financials filed with the SEC. </w:t>
      </w:r>
      <w:r>
        <w:rPr>
          <w:rFonts w:ascii="Calibri" w:hAnsi="Calibri"/>
          <w:b/>
          <w:color w:val="525866"/>
          <w:sz w:val="22"/>
        </w:rPr>
        <w:t>Implication:</w:t>
      </w:r>
      <w:r>
        <w:rPr>
          <w:rFonts w:ascii="Calibri" w:hAnsi="Calibri"/>
          <w:color w:val="525866"/>
          <w:sz w:val="22"/>
        </w:rPr>
        <w:t xml:space="preserve"> Required regulatory filing; provides the market with the first formal look at JDE Peet’s standalone financials and the combined entity’s pro forma profile.</w:t>
      </w:r>
    </w:p>
    <w:p>
      <w:pPr>
        <w:pStyle w:val="ListBullet"/>
        <w:ind w:left="360" w:hanging="360"/>
      </w:pPr>
      <w:r>
        <w:rPr>
          <w:rFonts w:ascii="Calibri" w:hAnsi="Calibri"/>
          <w:b/>
          <w:color w:val="525866"/>
          <w:sz w:val="22"/>
        </w:rPr>
        <w:t>April 21, 2026 — KDP and Nestlé USA announce renewal and expansion of Starbucks K-Cup partnership.</w:t>
      </w:r>
      <w:r>
        <w:rPr>
          <w:rFonts w:ascii="Calibri" w:hAnsi="Calibri"/>
          <w:color w:val="525866"/>
          <w:sz w:val="22"/>
        </w:rPr>
        <w:t xml:space="preserve"> Extended agreement for Starbucks K-Cup pods in the U.S. and Canada, building on the 2020 collaboration with new programs for distribution and innovation. </w:t>
      </w:r>
      <w:r>
        <w:rPr>
          <w:rFonts w:ascii="Calibri" w:hAnsi="Calibri"/>
          <w:b/>
          <w:color w:val="525866"/>
          <w:sz w:val="22"/>
        </w:rPr>
        <w:t>Implication:</w:t>
      </w:r>
      <w:r>
        <w:rPr>
          <w:rFonts w:ascii="Calibri" w:hAnsi="Calibri"/>
          <w:color w:val="525866"/>
          <w:sz w:val="22"/>
        </w:rPr>
        <w:t xml:space="preserve"> Positive for U.S. Coffee segment; reinforces the Keurig ecosystem’s premium licensed brand strategy and provides a revenue tailwind into the back half.</w:t>
      </w:r>
    </w:p>
    <w:p>
      <w:pPr>
        <w:pStyle w:val="ListBullet"/>
        <w:ind w:left="360" w:hanging="360"/>
      </w:pPr>
      <w:r>
        <w:rPr>
          <w:rFonts w:ascii="Calibri" w:hAnsi="Calibri"/>
          <w:b/>
          <w:color w:val="525866"/>
          <w:sz w:val="22"/>
        </w:rPr>
        <w:t>May 20, 2026 — KDP participates in Deutsche Bank dbAccess Global Consumer Conference.</w:t>
      </w:r>
      <w:r>
        <w:rPr>
          <w:rFonts w:ascii="Calibri" w:hAnsi="Calibri"/>
          <w:color w:val="525866"/>
          <w:sz w:val="22"/>
        </w:rPr>
        <w:t xml:space="preserve"> No material guidance changes disclosed; management reiterated confidence in the separation and integration progress. </w:t>
      </w:r>
      <w:r>
        <w:rPr>
          <w:rFonts w:ascii="Calibri" w:hAnsi="Calibri"/>
          <w:b/>
          <w:color w:val="525866"/>
          <w:sz w:val="22"/>
        </w:rPr>
        <w:t>Implication:</w:t>
      </w:r>
      <w:r>
        <w:rPr>
          <w:rFonts w:ascii="Calibri" w:hAnsi="Calibri"/>
          <w:color w:val="525866"/>
          <w:sz w:val="22"/>
        </w:rPr>
        <w:t xml:space="preserve"> Neutral; consistent with the Q1 earnings call tone.</w:t>
      </w:r>
    </w:p>
    <w:p>
      <w:r>
        <w:br w:type="page"/>
      </w:r>
    </w:p>
    <w:p>
      <w:pPr>
        <w:pStyle w:val="Heading2"/>
      </w:pPr>
      <w:r>
        <w:rPr>
          <w:rFonts w:ascii="Calibri" w:hAnsi="Calibri"/>
          <w:b/>
          <w:color w:val="3B4259"/>
          <w:sz w:val="28"/>
        </w:rPr>
        <w:t>7. Peer Commentaries — Q2 2026 Read-Throughs (Last 60 Days)</w:t>
      </w:r>
    </w:p>
    <w:p>
      <w:r>
        <w:rPr>
          <w:rFonts w:ascii="Calibri" w:hAnsi="Calibri"/>
          <w:b/>
          <w:color w:val="525866"/>
          <w:sz w:val="22"/>
        </w:rPr>
        <w:t xml:space="preserve">Key Takeaway: </w:t>
      </w:r>
      <w:r>
        <w:rPr>
          <w:rFonts w:ascii="Calibri" w:hAnsi="Calibri"/>
          <w:b/>
          <w:color w:val="525866"/>
          <w:sz w:val="22"/>
        </w:rPr>
        <w:t xml:space="preserve">Peer commentary is broadly positive for KDP’s Q2 setup: the </w:t>
      </w:r>
      <w:r>
        <w:rPr>
          <w:rFonts w:ascii="Calibri" w:hAnsi="Calibri"/>
          <w:b/>
          <w:color w:val="525866"/>
          <w:sz w:val="22"/>
        </w:rPr>
        <w:t>energy drink category is accelerating</w:t>
      </w:r>
      <w:r>
        <w:rPr>
          <w:rFonts w:ascii="Calibri" w:hAnsi="Calibri"/>
          <w:b/>
          <w:color w:val="525866"/>
          <w:sz w:val="22"/>
        </w:rPr>
        <w:t xml:space="preserve"> (MNST, CELH), </w:t>
      </w:r>
      <w:r>
        <w:rPr>
          <w:rFonts w:ascii="Calibri" w:hAnsi="Calibri"/>
          <w:b/>
          <w:color w:val="525866"/>
          <w:sz w:val="22"/>
        </w:rPr>
        <w:t>North American CSD volumes are healthy</w:t>
      </w:r>
      <w:r>
        <w:rPr>
          <w:rFonts w:ascii="Calibri" w:hAnsi="Calibri"/>
          <w:b/>
          <w:color w:val="525866"/>
          <w:sz w:val="22"/>
        </w:rPr>
        <w:t xml:space="preserve"> (KO Q2 actual), and </w:t>
      </w:r>
      <w:r>
        <w:rPr>
          <w:rFonts w:ascii="Calibri" w:hAnsi="Calibri"/>
          <w:b/>
          <w:color w:val="525866"/>
          <w:sz w:val="22"/>
        </w:rPr>
        <w:t>North American beverage pricing is holding</w:t>
      </w:r>
      <w:r>
        <w:rPr>
          <w:rFonts w:ascii="Calibri" w:hAnsi="Calibri"/>
          <w:b/>
          <w:color w:val="525866"/>
          <w:sz w:val="22"/>
        </w:rPr>
        <w:t xml:space="preserve"> (PEP Q2 actual); the main read-through risk is </w:t>
      </w:r>
      <w:r>
        <w:rPr>
          <w:rFonts w:ascii="Calibri" w:hAnsi="Calibri"/>
          <w:b/>
          <w:color w:val="525866"/>
          <w:sz w:val="22"/>
        </w:rPr>
        <w:t>aluminum cost pressure</w:t>
      </w:r>
      <w:r>
        <w:rPr>
          <w:rFonts w:ascii="Calibri" w:hAnsi="Calibri"/>
          <w:b/>
          <w:color w:val="525866"/>
          <w:sz w:val="22"/>
        </w:rPr>
        <w:t xml:space="preserve"> flagged by CELH and MNST, which could weigh on KDP’s U.S. Coffee and Refreshment Beverages margins.</w:t>
      </w:r>
    </w:p>
    <w:p>
      <w:pPr>
        <w:pStyle w:val="Heading3"/>
      </w:pPr>
      <w:r>
        <w:rPr>
          <w:rFonts w:ascii="Calibri" w:hAnsi="Calibri"/>
          <w:b/>
          <w:color w:val="3B4259"/>
          <w:sz w:val="24"/>
        </w:rPr>
        <w:t>Monster Beverage (MNST) — Q1 2026 Earnings (May 7, 2026) &amp; Deutsche Bank Conference (June 4, 2026)</w:t>
      </w:r>
    </w:p>
    <w:p>
      <w:r>
        <w:rPr>
          <w:rFonts w:ascii="Calibri" w:hAnsi="Calibri"/>
          <w:b/>
          <w:color w:val="525866"/>
          <w:sz w:val="22"/>
        </w:rPr>
        <w:t xml:space="preserve">Relevance to KDP: </w:t>
      </w:r>
      <w:r>
        <w:rPr>
          <w:rFonts w:ascii="Calibri" w:hAnsi="Calibri"/>
          <w:color w:val="525866"/>
          <w:sz w:val="22"/>
        </w:rPr>
        <w:t>MNST is KDP’s largest energy drink competitor and a key read-through for KDP’s energy portfolio (GHOST, Bloom, C4, Black Rifle).</w:t>
      </w:r>
    </w:p>
    <w:p>
      <w:pPr>
        <w:pStyle w:val="ListBullet"/>
        <w:ind w:left="360" w:hanging="360"/>
      </w:pPr>
      <w:r>
        <w:rPr>
          <w:rFonts w:ascii="Calibri" w:hAnsi="Calibri"/>
          <w:b/>
          <w:color w:val="525866"/>
          <w:sz w:val="22"/>
        </w:rPr>
        <w:t>Energy category on fire in Q2:</w:t>
      </w:r>
      <w:r>
        <w:rPr>
          <w:rFonts w:ascii="Calibri" w:hAnsi="Calibri"/>
          <w:color w:val="525866"/>
          <w:sz w:val="22"/>
        </w:rPr>
        <w:t xml:space="preserve"> MNST reported April 2026 sales approximately 24.4% higher than April 2025 (non-FX adjusted), signaling that Q2 energy category momentum is accelerating from Q1’s already-strong levels. The global energy drink category is estimated at ~$89.4 billion, with the U.S. at ~$26.9 billion growing mid-teens. </w:t>
      </w:r>
      <w:r>
        <w:rPr>
          <w:rFonts w:ascii="Calibri" w:hAnsi="Calibri"/>
          <w:b/>
          <w:color w:val="525866"/>
          <w:sz w:val="22"/>
        </w:rPr>
        <w:t>KDP read-through:</w:t>
      </w:r>
      <w:r>
        <w:rPr>
          <w:rFonts w:ascii="Calibri" w:hAnsi="Calibri"/>
          <w:color w:val="525866"/>
          <w:sz w:val="22"/>
        </w:rPr>
        <w:t xml:space="preserve"> Positive for GHOST and Bloom, which were already the #2 and #3 fastest-growing major trademarks in Q1; strong category tailwinds support KDP’s energy share expansion thesis.</w:t>
      </w:r>
    </w:p>
    <w:p>
      <w:pPr>
        <w:pStyle w:val="ListBullet"/>
        <w:ind w:left="360" w:hanging="360"/>
      </w:pPr>
      <w:r>
        <w:rPr>
          <w:rFonts w:ascii="Calibri" w:hAnsi="Calibri"/>
          <w:b/>
          <w:color w:val="525866"/>
          <w:sz w:val="22"/>
        </w:rPr>
        <w:t>Distribution gains and shelf space wins:</w:t>
      </w:r>
      <w:r>
        <w:rPr>
          <w:rFonts w:ascii="Calibri" w:hAnsi="Calibri"/>
          <w:color w:val="525866"/>
          <w:sz w:val="22"/>
        </w:rPr>
        <w:t xml:space="preserve"> MNST highlighted meaningful distribution gains across all channels, including convenience and foodservice, with new vending machine placements in Japan and expansion into Pakistan. The energy category is gaining shelf space at the expense of other categories. </w:t>
      </w:r>
      <w:r>
        <w:rPr>
          <w:rFonts w:ascii="Calibri" w:hAnsi="Calibri"/>
          <w:b/>
          <w:color w:val="525866"/>
          <w:sz w:val="22"/>
        </w:rPr>
        <w:t>KDP read-through:</w:t>
      </w:r>
      <w:r>
        <w:rPr>
          <w:rFonts w:ascii="Calibri" w:hAnsi="Calibri"/>
          <w:color w:val="525866"/>
          <w:sz w:val="22"/>
        </w:rPr>
        <w:t xml:space="preserve"> KDP management flagged a “successful sell-in cycle” for its energy portfolio in Q1, with meaningful TDP gains expected throughout the year; MNST’s commentary validates the category-wide shelf space expansion trend.</w:t>
      </w:r>
    </w:p>
    <w:p>
      <w:pPr>
        <w:pStyle w:val="ListBullet"/>
        <w:ind w:left="360" w:hanging="360"/>
      </w:pPr>
      <w:r>
        <w:rPr>
          <w:rFonts w:ascii="Calibri" w:hAnsi="Calibri"/>
          <w:b/>
          <w:color w:val="525866"/>
          <w:sz w:val="22"/>
        </w:rPr>
        <w:t>Aluminum cost headwind — modest but persistent:</w:t>
      </w:r>
      <w:r>
        <w:rPr>
          <w:rFonts w:ascii="Calibri" w:hAnsi="Calibri"/>
          <w:color w:val="525866"/>
          <w:sz w:val="22"/>
        </w:rPr>
        <w:t xml:space="preserve"> MNST noted aluminum costs had a ~1% margin impact in Q1 and expects a “continued modest sequential increase in costs through at least the end of 2026” due to aluminum pricing and the Midwest premium. Hedging strategies are in place. </w:t>
      </w:r>
      <w:r>
        <w:rPr>
          <w:rFonts w:ascii="Calibri" w:hAnsi="Calibri"/>
          <w:b/>
          <w:color w:val="525866"/>
          <w:sz w:val="22"/>
        </w:rPr>
        <w:t>KDP read-through:</w:t>
      </w:r>
      <w:r>
        <w:rPr>
          <w:rFonts w:ascii="Calibri" w:hAnsi="Calibri"/>
          <w:color w:val="525866"/>
          <w:sz w:val="22"/>
        </w:rPr>
        <w:t xml:space="preserve"> Modest negative for KDP’s beverage margins; however, KDP’s larger scale and diversified input cost base likely limits the impact relative to pure-play energy companies.</w:t>
      </w:r>
    </w:p>
    <w:p>
      <w:pPr>
        <w:pStyle w:val="ListBullet"/>
        <w:ind w:left="360" w:hanging="360"/>
      </w:pPr>
      <w:r>
        <w:rPr>
          <w:rFonts w:ascii="Calibri" w:hAnsi="Calibri"/>
          <w:b/>
          <w:color w:val="525866"/>
          <w:sz w:val="22"/>
        </w:rPr>
        <w:t>Female consumer and sugar-free driving category growth:</w:t>
      </w:r>
      <w:r>
        <w:rPr>
          <w:rFonts w:ascii="Calibri" w:hAnsi="Calibri"/>
          <w:color w:val="525866"/>
          <w:sz w:val="22"/>
        </w:rPr>
        <w:t xml:space="preserve"> MNST noted that the male/female split in European markets is nearly 45/55, and the Ultra line (50% female) is growing 20%+ in the U.S. The category is becoming more mainstream across dayparts. </w:t>
      </w:r>
      <w:r>
        <w:rPr>
          <w:rFonts w:ascii="Calibri" w:hAnsi="Calibri"/>
          <w:b/>
          <w:color w:val="525866"/>
          <w:sz w:val="22"/>
        </w:rPr>
        <w:t>KDP read-through:</w:t>
      </w:r>
      <w:r>
        <w:rPr>
          <w:rFonts w:ascii="Calibri" w:hAnsi="Calibri"/>
          <w:color w:val="525866"/>
          <w:sz w:val="22"/>
        </w:rPr>
        <w:t xml:space="preserve"> Positive for Bloom (female-focused) and GHOST (lifestyle positioning); validates KDP’s portfolio diversification strategy.</w:t>
      </w:r>
    </w:p>
    <w:p>
      <w:pPr>
        <w:pStyle w:val="Heading3"/>
      </w:pPr>
      <w:r>
        <w:rPr>
          <w:rFonts w:ascii="Calibri" w:hAnsi="Calibri"/>
          <w:b/>
          <w:color w:val="3B4259"/>
          <w:sz w:val="24"/>
        </w:rPr>
        <w:t>Celsius Holdings (CELH) — Q1 2026 Earnings (May 7, 2026), Goldman Sachs Conference (May 12, 2026) &amp; Deutsche Bank Conference (June 2, 2026)</w:t>
      </w:r>
    </w:p>
    <w:p>
      <w:r>
        <w:rPr>
          <w:rFonts w:ascii="Calibri" w:hAnsi="Calibri"/>
          <w:b/>
          <w:color w:val="525866"/>
          <w:sz w:val="22"/>
        </w:rPr>
        <w:t xml:space="preserve">Relevance to KDP: </w:t>
      </w:r>
      <w:r>
        <w:rPr>
          <w:rFonts w:ascii="Calibri" w:hAnsi="Calibri"/>
          <w:color w:val="525866"/>
          <w:sz w:val="22"/>
        </w:rPr>
        <w:t>CELH is a key energy category read-through and a direct competitor to KDP’s energy portfolio in the convenience channel; CELH’s distribution commentary via Pepsi DSD is also relevant to KDP’s own DSD system.</w:t>
      </w:r>
    </w:p>
    <w:p>
      <w:pPr>
        <w:pStyle w:val="ListBullet"/>
        <w:ind w:left="360" w:hanging="360"/>
      </w:pPr>
      <w:r>
        <w:rPr>
          <w:rFonts w:ascii="Calibri" w:hAnsi="Calibri"/>
          <w:b/>
          <w:color w:val="525866"/>
          <w:sz w:val="22"/>
        </w:rPr>
        <w:t>Energy category “on fire” with 1-in-5 cans now a CELH portfolio product:</w:t>
      </w:r>
      <w:r>
        <w:rPr>
          <w:rFonts w:ascii="Calibri" w:hAnsi="Calibri"/>
          <w:color w:val="525866"/>
          <w:sz w:val="22"/>
        </w:rPr>
        <w:t xml:space="preserve"> CELH’s combined portfolio (Celsius, Alani Nu, Rockstar) holds ~21% dollar share of the energy category. The category is described as “one of the fastest-growing” with sugar-free and female consumers as the two biggest growth drivers. Portfolio dollar share reached 20.9% in the four weeks ending April 12. </w:t>
      </w:r>
      <w:r>
        <w:rPr>
          <w:rFonts w:ascii="Calibri" w:hAnsi="Calibri"/>
          <w:b/>
          <w:color w:val="525866"/>
          <w:sz w:val="22"/>
        </w:rPr>
        <w:t>KDP read-through:</w:t>
      </w:r>
      <w:r>
        <w:rPr>
          <w:rFonts w:ascii="Calibri" w:hAnsi="Calibri"/>
          <w:color w:val="525866"/>
          <w:sz w:val="22"/>
        </w:rPr>
        <w:t xml:space="preserve"> Positive for KDP’s energy ambitions; the category is large enough to support multiple winners. KDP’s portfolio (GHOST, Bloom, C4, Black Rifle) is differentiated from CELH’s and targets different consumer segments.</w:t>
      </w:r>
    </w:p>
    <w:p>
      <w:pPr>
        <w:pStyle w:val="ListBullet"/>
        <w:ind w:left="360" w:hanging="360"/>
      </w:pPr>
      <w:r>
        <w:rPr>
          <w:rFonts w:ascii="Calibri" w:hAnsi="Calibri"/>
          <w:b/>
          <w:color w:val="525866"/>
          <w:sz w:val="22"/>
        </w:rPr>
        <w:t>Q2 gross margin headwind from aluminum — “most impacted quarter”:</w:t>
      </w:r>
      <w:r>
        <w:rPr>
          <w:rFonts w:ascii="Calibri" w:hAnsi="Calibri"/>
          <w:color w:val="525866"/>
          <w:sz w:val="22"/>
        </w:rPr>
        <w:t xml:space="preserve"> CELH flagged Q2 as “probably the most impacted quarter” from elevated aluminum costs (Midwest premium + LME spike in March), with gross margin expected to be roughly flat vs. Q1 (~48.3%). Margin expansion is expected in Q3/Q4 as a second production line comes online and Alani/Rockstar freight costs are integrated. </w:t>
      </w:r>
      <w:r>
        <w:rPr>
          <w:rFonts w:ascii="Calibri" w:hAnsi="Calibri"/>
          <w:b/>
          <w:color w:val="525866"/>
          <w:sz w:val="22"/>
        </w:rPr>
        <w:t>KDP read-through:</w:t>
      </w:r>
      <w:r>
        <w:rPr>
          <w:rFonts w:ascii="Calibri" w:hAnsi="Calibri"/>
          <w:color w:val="525866"/>
          <w:sz w:val="22"/>
        </w:rPr>
        <w:t xml:space="preserve"> Modest negative signal for KDP’s beverage margins in Q2; however, KDP’s hedging program and scale provide more insulation than CELH.</w:t>
      </w:r>
    </w:p>
    <w:p>
      <w:pPr>
        <w:pStyle w:val="ListBullet"/>
        <w:ind w:left="360" w:hanging="360"/>
      </w:pPr>
      <w:r>
        <w:rPr>
          <w:rFonts w:ascii="Calibri" w:hAnsi="Calibri"/>
          <w:b/>
          <w:color w:val="525866"/>
          <w:sz w:val="22"/>
        </w:rPr>
        <w:t>Alani Nu distribution expansion into convenience — velocity holding:</w:t>
      </w:r>
      <w:r>
        <w:rPr>
          <w:rFonts w:ascii="Calibri" w:hAnsi="Calibri"/>
          <w:color w:val="525866"/>
          <w:sz w:val="22"/>
        </w:rPr>
        <w:t xml:space="preserve"> Alani Nu’s ACV expanded to 90%+ with velocity dollars per TDP up 13% from January to April, even as distribution expanded into convenience for the first time. Space gains for Alani are “over 100% across all channels.” </w:t>
      </w:r>
      <w:r>
        <w:rPr>
          <w:rFonts w:ascii="Calibri" w:hAnsi="Calibri"/>
          <w:b/>
          <w:color w:val="525866"/>
          <w:sz w:val="22"/>
        </w:rPr>
        <w:t>KDP read-through:</w:t>
      </w:r>
      <w:r>
        <w:rPr>
          <w:rFonts w:ascii="Calibri" w:hAnsi="Calibri"/>
          <w:color w:val="525866"/>
          <w:sz w:val="22"/>
        </w:rPr>
        <w:t xml:space="preserve"> Positive for KDP’s Bloom brand, which targets a similar female consumer and is also expanding distribution; validates that female-focused energy brands can sustain velocity as distribution scales.</w:t>
      </w:r>
    </w:p>
    <w:p>
      <w:pPr>
        <w:pStyle w:val="ListBullet"/>
        <w:ind w:left="360" w:hanging="360"/>
      </w:pPr>
      <w:r>
        <w:rPr>
          <w:rFonts w:ascii="Calibri" w:hAnsi="Calibri"/>
          <w:b/>
          <w:color w:val="525866"/>
          <w:sz w:val="22"/>
        </w:rPr>
        <w:t>Celsius brand stabilizing after SKU rationalization:</w:t>
      </w:r>
      <w:r>
        <w:rPr>
          <w:rFonts w:ascii="Calibri" w:hAnsi="Calibri"/>
          <w:color w:val="525866"/>
          <w:sz w:val="22"/>
        </w:rPr>
        <w:t xml:space="preserve"> CELH undertook a SKU optimization project in Q1 that temporarily impacted scanner data but improved velocity (dollars per TDP up 17% from January to April). Space gains of ~17% for brand Celsius are expected to be largely in place by end of Q2. </w:t>
      </w:r>
      <w:r>
        <w:rPr>
          <w:rFonts w:ascii="Calibri" w:hAnsi="Calibri"/>
          <w:b/>
          <w:color w:val="525866"/>
          <w:sz w:val="22"/>
        </w:rPr>
        <w:t>KDP read-through:</w:t>
      </w:r>
      <w:r>
        <w:rPr>
          <w:rFonts w:ascii="Calibri" w:hAnsi="Calibri"/>
          <w:color w:val="525866"/>
          <w:sz w:val="22"/>
        </w:rPr>
        <w:t xml:space="preserve"> Neutral; KDP’s energy portfolio is not undergoing similar rationalization (C4 Smart subline was already discontinued in Q1).</w:t>
      </w:r>
    </w:p>
    <w:p>
      <w:pPr>
        <w:pStyle w:val="ListBullet"/>
        <w:ind w:left="360" w:hanging="360"/>
      </w:pPr>
      <w:r>
        <w:rPr>
          <w:rFonts w:ascii="Calibri" w:hAnsi="Calibri"/>
          <w:b/>
          <w:color w:val="525866"/>
          <w:sz w:val="22"/>
        </w:rPr>
        <w:t>Energy category gaining shelf space from alcohol:</w:t>
      </w:r>
      <w:r>
        <w:rPr>
          <w:rFonts w:ascii="Calibri" w:hAnsi="Calibri"/>
          <w:color w:val="525866"/>
          <w:sz w:val="22"/>
        </w:rPr>
        <w:t xml:space="preserve"> CELH management noted that retailers are “leaning in” to energy, with cold space “expanding rapidly across a lot of different formats,” and that energy could gain space from alcohol in convenience stores. </w:t>
      </w:r>
      <w:r>
        <w:rPr>
          <w:rFonts w:ascii="Calibri" w:hAnsi="Calibri"/>
          <w:b/>
          <w:color w:val="525866"/>
          <w:sz w:val="22"/>
        </w:rPr>
        <w:t>KDP read-through:</w:t>
      </w:r>
      <w:r>
        <w:rPr>
          <w:rFonts w:ascii="Calibri" w:hAnsi="Calibri"/>
          <w:color w:val="525866"/>
          <w:sz w:val="22"/>
        </w:rPr>
        <w:t xml:space="preserve"> Positive structural tailwind for KDP’s energy portfolio distribution gains; supports management’s expectation of meaningful TDP gains throughout 2026.</w:t>
      </w:r>
    </w:p>
    <w:p>
      <w:pPr>
        <w:pStyle w:val="Heading3"/>
      </w:pPr>
      <w:r>
        <w:rPr>
          <w:rFonts w:ascii="Calibri" w:hAnsi="Calibri"/>
          <w:b/>
          <w:color w:val="3B4259"/>
          <w:sz w:val="24"/>
        </w:rPr>
        <w:t>Coca-Cola (KO) — Q2 2026 Earnings (July 28, 2026) — Actual Q2 Results</w:t>
      </w:r>
    </w:p>
    <w:p>
      <w:r>
        <w:rPr>
          <w:rFonts w:ascii="Calibri" w:hAnsi="Calibri"/>
          <w:b/>
          <w:color w:val="525866"/>
          <w:sz w:val="22"/>
        </w:rPr>
        <w:t xml:space="preserve">Relevance to KDP: </w:t>
      </w:r>
      <w:r>
        <w:rPr>
          <w:rFonts w:ascii="Calibri" w:hAnsi="Calibri"/>
          <w:color w:val="525866"/>
          <w:sz w:val="22"/>
        </w:rPr>
        <w:t>KO is the most direct CSD and North American beverage read-through for KDP; KO’s Q2 actual results (reported July 28) provide the most current read on the category environment KDP will report into.</w:t>
      </w:r>
    </w:p>
    <w:p>
      <w:pPr>
        <w:pStyle w:val="ListBullet"/>
        <w:ind w:left="360" w:hanging="360"/>
      </w:pPr>
      <w:r>
        <w:rPr>
          <w:rFonts w:ascii="Calibri" w:hAnsi="Calibri"/>
          <w:b/>
          <w:color w:val="525866"/>
          <w:sz w:val="22"/>
        </w:rPr>
        <w:t>North America volumes +3%, pricing +4% in Q2:</w:t>
      </w:r>
      <w:r>
        <w:rPr>
          <w:rFonts w:ascii="Calibri" w:hAnsi="Calibri"/>
          <w:color w:val="525866"/>
          <w:sz w:val="22"/>
        </w:rPr>
        <w:t xml:space="preserve"> KO’s North America segment delivered 3% unit case volume growth and 4% price/mix growth in Q2 2026, with Trademark Coca-Cola growing 5% globally and Coca-Cola Zero Sugar surging 16%. The company gained value share in total NARTD beverages in North America. </w:t>
      </w:r>
      <w:r>
        <w:rPr>
          <w:rFonts w:ascii="Calibri" w:hAnsi="Calibri"/>
          <w:b/>
          <w:color w:val="525866"/>
          <w:sz w:val="22"/>
        </w:rPr>
        <w:t>KDP read-through:</w:t>
      </w:r>
      <w:r>
        <w:rPr>
          <w:rFonts w:ascii="Calibri" w:hAnsi="Calibri"/>
          <w:color w:val="525866"/>
          <w:sz w:val="22"/>
        </w:rPr>
        <w:t xml:space="preserve"> Strongly positive for KDP’s U.S. Refreshment Beverages segment; healthy CSD category volumes and pricing confirm that the consumer environment for carbonated soft drinks remains supportive. Dr Pepper’s three primary lines (regular, diet, zero sugar) were collectively gaining share in Q1 and this trend likely continued.</w:t>
      </w:r>
    </w:p>
    <w:p>
      <w:pPr>
        <w:pStyle w:val="ListBullet"/>
        <w:ind w:left="360" w:hanging="360"/>
      </w:pPr>
      <w:r>
        <w:rPr>
          <w:rFonts w:ascii="Calibri" w:hAnsi="Calibri"/>
          <w:b/>
          <w:color w:val="525866"/>
          <w:sz w:val="22"/>
        </w:rPr>
        <w:t>KO raises full-year guidance:</w:t>
      </w:r>
      <w:r>
        <w:rPr>
          <w:rFonts w:ascii="Calibri" w:hAnsi="Calibri"/>
          <w:color w:val="525866"/>
          <w:sz w:val="22"/>
        </w:rPr>
        <w:t xml:space="preserve"> KO raised FY 2026 organic revenue guidance to ~5% growth (from 4%–5%) and comparable currency neutral EPS growth to 7%–8% (from 6%–7%), citing strong execution and brand momentum. </w:t>
      </w:r>
      <w:r>
        <w:rPr>
          <w:rFonts w:ascii="Calibri" w:hAnsi="Calibri"/>
          <w:b/>
          <w:color w:val="525866"/>
          <w:sz w:val="22"/>
        </w:rPr>
        <w:t>KDP read-through:</w:t>
      </w:r>
      <w:r>
        <w:rPr>
          <w:rFonts w:ascii="Calibri" w:hAnsi="Calibri"/>
          <w:color w:val="525866"/>
          <w:sz w:val="22"/>
        </w:rPr>
        <w:t xml:space="preserve"> Positive sentiment signal for the broader beverage sector; a guidance raise from the category leader reduces the risk of a sector-wide demand miss.</w:t>
      </w:r>
    </w:p>
    <w:p>
      <w:pPr>
        <w:pStyle w:val="ListBullet"/>
        <w:ind w:left="360" w:hanging="360"/>
      </w:pPr>
      <w:r>
        <w:rPr>
          <w:rFonts w:ascii="Calibri" w:hAnsi="Calibri"/>
          <w:b/>
          <w:color w:val="525866"/>
          <w:sz w:val="22"/>
        </w:rPr>
        <w:t>Sports drinks +5%, Powerade +8% (FIFA World Cup tailwind):</w:t>
      </w:r>
      <w:r>
        <w:rPr>
          <w:rFonts w:ascii="Calibri" w:hAnsi="Calibri"/>
          <w:color w:val="525866"/>
          <w:sz w:val="22"/>
        </w:rPr>
        <w:t xml:space="preserve"> Sports drinks grew 5% in North America, EMEA, and Asia Pacific, with Powerade achieving 8% volume growth driven by FIFA World Cup 2026 activations. </w:t>
      </w:r>
      <w:r>
        <w:rPr>
          <w:rFonts w:ascii="Calibri" w:hAnsi="Calibri"/>
          <w:b/>
          <w:color w:val="525866"/>
          <w:sz w:val="22"/>
        </w:rPr>
        <w:t>KDP read-through:</w:t>
      </w:r>
      <w:r>
        <w:rPr>
          <w:rFonts w:ascii="Calibri" w:hAnsi="Calibri"/>
          <w:color w:val="525866"/>
          <w:sz w:val="22"/>
        </w:rPr>
        <w:t xml:space="preserve"> Positive for KDP’s sports hydration portfolio (Electrolit partnership, sports hydration expansion); the FIFA World Cup summer tailwind likely benefited the broader sports hydration category in Q2.</w:t>
      </w:r>
    </w:p>
    <w:p>
      <w:pPr>
        <w:pStyle w:val="ListBullet"/>
        <w:ind w:left="360" w:hanging="360"/>
      </w:pPr>
      <w:r>
        <w:rPr>
          <w:rFonts w:ascii="Calibri" w:hAnsi="Calibri"/>
          <w:b/>
          <w:color w:val="525866"/>
          <w:sz w:val="22"/>
        </w:rPr>
        <w:t>Coffee declined 2% in Q2 (Asia Pacific drag):</w:t>
      </w:r>
      <w:r>
        <w:rPr>
          <w:rFonts w:ascii="Calibri" w:hAnsi="Calibri"/>
          <w:color w:val="525866"/>
          <w:sz w:val="22"/>
        </w:rPr>
        <w:t xml:space="preserve"> KO’s coffee category (Costa, Georgia) declined 2% in Q2, primarily driven by a decline in Asia Pacific. </w:t>
      </w:r>
      <w:r>
        <w:rPr>
          <w:rFonts w:ascii="Calibri" w:hAnsi="Calibri"/>
          <w:b/>
          <w:color w:val="525866"/>
          <w:sz w:val="22"/>
        </w:rPr>
        <w:t>KDP read-through:</w:t>
      </w:r>
      <w:r>
        <w:rPr>
          <w:rFonts w:ascii="Calibri" w:hAnsi="Calibri"/>
          <w:color w:val="525866"/>
          <w:sz w:val="22"/>
        </w:rPr>
        <w:t xml:space="preserve"> Modest negative read-through for KDP’s U.S. Coffee segment; however, KDP’s coffee exposure is primarily K-Cup pods (at-home) rather than out-of-home coffee, so the read-through is limited.</w:t>
      </w:r>
    </w:p>
    <w:p>
      <w:pPr>
        <w:pStyle w:val="Heading3"/>
      </w:pPr>
      <w:r>
        <w:rPr>
          <w:rFonts w:ascii="Calibri" w:hAnsi="Calibri"/>
          <w:b/>
          <w:color w:val="3B4259"/>
          <w:sz w:val="24"/>
        </w:rPr>
        <w:t>PepsiCo (PEP) — Q2 2026 Earnings (July 9, 2026) — Actual Q2 Results</w:t>
      </w:r>
    </w:p>
    <w:p>
      <w:r>
        <w:rPr>
          <w:rFonts w:ascii="Calibri" w:hAnsi="Calibri"/>
          <w:b/>
          <w:color w:val="525866"/>
          <w:sz w:val="22"/>
        </w:rPr>
        <w:t xml:space="preserve">Relevance to KDP: </w:t>
      </w:r>
      <w:r>
        <w:rPr>
          <w:rFonts w:ascii="Calibri" w:hAnsi="Calibri"/>
          <w:color w:val="525866"/>
          <w:sz w:val="22"/>
        </w:rPr>
        <w:t>PEP is a key North American beverage read-through; PEP’s PBNA segment is the most direct comparable for KDP’s U.S. Refreshment Beverages, and PEP’s DSD system commentary is relevant to KDP’s own DSD operations.</w:t>
      </w:r>
    </w:p>
    <w:p>
      <w:pPr>
        <w:pStyle w:val="ListBullet"/>
        <w:ind w:left="360" w:hanging="360"/>
      </w:pPr>
      <w:r>
        <w:rPr>
          <w:rFonts w:ascii="Calibri" w:hAnsi="Calibri"/>
          <w:b/>
          <w:color w:val="525866"/>
          <w:sz w:val="22"/>
        </w:rPr>
        <w:t>PBNA delivered strong net revenue growth in Q2:</w:t>
      </w:r>
      <w:r>
        <w:rPr>
          <w:rFonts w:ascii="Calibri" w:hAnsi="Calibri"/>
          <w:color w:val="525866"/>
          <w:sz w:val="22"/>
        </w:rPr>
        <w:t xml:space="preserve"> PepsiCo Beverages North America (PBNA) delivered strong net revenue growth in Q2 2026, primarily reflecting benefits from acquisitions made in 2025 and organic growth. Organic revenue grew 1% for PBNA, with pricing contributing +3% and volume at −2%. </w:t>
      </w:r>
      <w:r>
        <w:rPr>
          <w:rFonts w:ascii="Calibri" w:hAnsi="Calibri"/>
          <w:b/>
          <w:color w:val="525866"/>
          <w:sz w:val="22"/>
        </w:rPr>
        <w:t>KDP read-through:</w:t>
      </w:r>
      <w:r>
        <w:rPr>
          <w:rFonts w:ascii="Calibri" w:hAnsi="Calibri"/>
          <w:color w:val="525866"/>
          <w:sz w:val="22"/>
        </w:rPr>
        <w:t xml:space="preserve"> Mixed; PBNA’s organic volume was slightly negative (−2%), but pricing held at +3%. KDP’s U.S. Refreshment Beverages has been outperforming PBNA on volume/mix, so the read-through is not directly comparable — KDP’s energy portfolio is a key differentiator.</w:t>
      </w:r>
    </w:p>
    <w:p>
      <w:pPr>
        <w:pStyle w:val="ListBullet"/>
        <w:ind w:left="360" w:hanging="360"/>
      </w:pPr>
      <w:r>
        <w:rPr>
          <w:rFonts w:ascii="Calibri" w:hAnsi="Calibri"/>
          <w:b/>
          <w:color w:val="525866"/>
          <w:sz w:val="22"/>
        </w:rPr>
        <w:t>PEP affirms FY 2026 guidance (organic revenue +2%–4%, core CC EPS +4%–6%):</w:t>
      </w:r>
      <w:r>
        <w:rPr>
          <w:rFonts w:ascii="Calibri" w:hAnsi="Calibri"/>
          <w:color w:val="525866"/>
          <w:sz w:val="22"/>
        </w:rPr>
        <w:t xml:space="preserve"> PepsiCo affirmed its fiscal 2026 financial guidance, citing year-to-date global organic volume growth at the highest rate since 2022. </w:t>
      </w:r>
      <w:r>
        <w:rPr>
          <w:rFonts w:ascii="Calibri" w:hAnsi="Calibri"/>
          <w:b/>
          <w:color w:val="525866"/>
          <w:sz w:val="22"/>
        </w:rPr>
        <w:t>KDP read-through:</w:t>
      </w:r>
      <w:r>
        <w:rPr>
          <w:rFonts w:ascii="Calibri" w:hAnsi="Calibri"/>
          <w:color w:val="525866"/>
          <w:sz w:val="22"/>
        </w:rPr>
        <w:t xml:space="preserve"> Neutral to positive; PEP’s guidance affirmation reduces the risk of a sector-wide demand deterioration narrative.</w:t>
      </w:r>
    </w:p>
    <w:p>
      <w:pPr>
        <w:pStyle w:val="ListBullet"/>
        <w:ind w:left="360" w:hanging="360"/>
      </w:pPr>
      <w:r>
        <w:rPr>
          <w:rFonts w:ascii="Calibri" w:hAnsi="Calibri"/>
          <w:b/>
          <w:color w:val="525866"/>
          <w:sz w:val="22"/>
        </w:rPr>
        <w:t>Tariffs listed as a risk factor but no specific Q2 impact disclosed:</w:t>
      </w:r>
      <w:r>
        <w:rPr>
          <w:rFonts w:ascii="Calibri" w:hAnsi="Calibri"/>
          <w:color w:val="525866"/>
          <w:sz w:val="22"/>
        </w:rPr>
        <w:t xml:space="preserve"> PEP listed “changes in tariffs and global trade relations” as a risk factor but did not disclose a specific Q2 tariff impact on results. </w:t>
      </w:r>
      <w:r>
        <w:rPr>
          <w:rFonts w:ascii="Calibri" w:hAnsi="Calibri"/>
          <w:b/>
          <w:color w:val="525866"/>
          <w:sz w:val="22"/>
        </w:rPr>
        <w:t>KDP read-through:</w:t>
      </w:r>
      <w:r>
        <w:rPr>
          <w:rFonts w:ascii="Calibri" w:hAnsi="Calibri"/>
          <w:color w:val="525866"/>
          <w:sz w:val="22"/>
        </w:rPr>
        <w:t xml:space="preserve"> Relevant because KDP management flagged tariffs as a headwind in Q1 (flowing through U.S. Coffee costs); PEP’s lack of a specific tariff impact disclosure suggests the sector-wide tariff headwind may be manageable.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No open-market buys or discretionary sells since the Q1 print; the only transactions are tax-withholding share forfeitures (code F) by the CEO and Controller, and a routine RSU grant to the departing Coffee CEO — </w:t>
      </w:r>
      <w:r>
        <w:rPr>
          <w:rFonts w:ascii="Calibri" w:hAnsi="Calibri"/>
          <w:b/>
          <w:color w:val="525866"/>
          <w:sz w:val="22"/>
        </w:rPr>
        <w:t>nothing notable from an insider signal perspective.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tcPr>
          <w:p>
            <w:r>
              <w:rPr>
                <w:rFonts w:ascii="Calibri" w:hAnsi="Calibri"/>
                <w:b/>
                <w:sz w:val="22"/>
              </w:rPr>
              <w:t>Name</w:t>
            </w:r>
          </w:p>
        </w:tc>
        <w:tc>
          <w:tcPr>
            <w:tcW w:type="dxa" w:w="1440"/>
          </w:tcPr>
          <w:p>
            <w:r>
              <w:rPr>
                <w:rFonts w:ascii="Calibri" w:hAnsi="Calibri"/>
                <w:b/>
                <w:sz w:val="22"/>
              </w:rPr>
              <w:t>Title</w:t>
            </w:r>
          </w:p>
        </w:tc>
        <w:tc>
          <w:tcPr>
            <w:tcW w:type="dxa" w:w="1440"/>
          </w:tcPr>
          <w:p>
            <w:r>
              <w:rPr>
                <w:rFonts w:ascii="Calibri" w:hAnsi="Calibri"/>
                <w:b/>
                <w:sz w:val="22"/>
              </w:rPr>
              <w:t>Transaction Type</w:t>
            </w:r>
          </w:p>
        </w:tc>
        <w:tc>
          <w:tcPr>
            <w:tcW w:type="dxa" w:w="1440"/>
          </w:tcPr>
          <w:p>
            <w:r>
              <w:rPr>
                <w:rFonts w:ascii="Calibri" w:hAnsi="Calibri"/>
                <w:b/>
                <w:sz w:val="22"/>
              </w:rPr>
              <w:t>Shares / Value</w:t>
            </w:r>
          </w:p>
        </w:tc>
        <w:tc>
          <w:tcPr>
            <w:tcW w:type="dxa" w:w="1440"/>
          </w:tcPr>
          <w:p>
            <w:r>
              <w:rPr>
                <w:rFonts w:ascii="Calibri" w:hAnsi="Calibri"/>
                <w:b/>
                <w:sz w:val="22"/>
              </w:rPr>
              <w:t>Date</w:t>
            </w:r>
          </w:p>
        </w:tc>
        <w:tc>
          <w:tcPr>
            <w:tcW w:type="dxa" w:w="1440"/>
          </w:tcPr>
          <w:p>
            <w:r>
              <w:rPr>
                <w:rFonts w:ascii="Calibri" w:hAnsi="Calibri"/>
                <w:b/>
                <w:sz w:val="22"/>
              </w:rPr>
              <w:t>Note</w:t>
            </w:r>
          </w:p>
        </w:tc>
      </w:tr>
      <w:tr>
        <w:tc>
          <w:tcPr>
            <w:tcW w:type="dxa" w:w="1440"/>
          </w:tcPr>
          <w:p>
            <w:r>
              <w:rPr>
                <w:rFonts w:ascii="Calibri" w:hAnsi="Calibri"/>
                <w:sz w:val="22"/>
              </w:rPr>
              <w:t>Timothy P. Cofer</w:t>
            </w:r>
          </w:p>
        </w:tc>
        <w:tc>
          <w:tcPr>
            <w:tcW w:type="dxa" w:w="1440"/>
          </w:tcPr>
          <w:p>
            <w:r>
              <w:rPr>
                <w:rFonts w:ascii="Calibri" w:hAnsi="Calibri"/>
                <w:sz w:val="22"/>
              </w:rPr>
              <w:t>CEO &amp; President, Director</w:t>
            </w:r>
          </w:p>
        </w:tc>
        <w:tc>
          <w:tcPr>
            <w:tcW w:type="dxa" w:w="1440"/>
          </w:tcPr>
          <w:p>
            <w:r>
              <w:rPr>
                <w:rFonts w:ascii="Calibri" w:hAnsi="Calibri"/>
                <w:sz w:val="22"/>
              </w:rPr>
              <w:t>Tax Withholding (Code F — Disposition)</w:t>
            </w:r>
          </w:p>
        </w:tc>
        <w:tc>
          <w:tcPr>
            <w:tcW w:type="dxa" w:w="1440"/>
          </w:tcPr>
          <w:p>
            <w:r>
              <w:rPr>
                <w:rFonts w:ascii="Calibri" w:hAnsi="Calibri"/>
                <w:sz w:val="22"/>
              </w:rPr>
              <w:t>34,670 shares</w:t>
            </w:r>
          </w:p>
        </w:tc>
        <w:tc>
          <w:tcPr>
            <w:tcW w:type="dxa" w:w="1440"/>
          </w:tcPr>
          <w:p>
            <w:r>
              <w:rPr>
                <w:rFonts w:ascii="Calibri" w:hAnsi="Calibri"/>
                <w:sz w:val="22"/>
              </w:rPr>
              <w:t>May 20, 2026</w:t>
            </w:r>
          </w:p>
        </w:tc>
        <w:tc>
          <w:tcPr>
            <w:tcW w:type="dxa" w:w="1440"/>
          </w:tcPr>
          <w:p>
            <w:r>
              <w:rPr>
                <w:rFonts w:ascii="Calibri" w:hAnsi="Calibri"/>
                <w:sz w:val="22"/>
              </w:rPr>
              <w:t>Shares withheld for tax obligation on vesting; not a discretionary sale. Retains 53,436 shares after transaction.</w:t>
            </w:r>
          </w:p>
        </w:tc>
      </w:tr>
      <w:tr>
        <w:tc>
          <w:tcPr>
            <w:tcW w:type="dxa" w:w="1440"/>
          </w:tcPr>
          <w:p>
            <w:r>
              <w:rPr>
                <w:rFonts w:ascii="Calibri" w:hAnsi="Calibri"/>
                <w:sz w:val="22"/>
              </w:rPr>
              <w:t>Angela A. Stephens</w:t>
            </w:r>
          </w:p>
        </w:tc>
        <w:tc>
          <w:tcPr>
            <w:tcW w:type="dxa" w:w="1440"/>
          </w:tcPr>
          <w:p>
            <w:r>
              <w:rPr>
                <w:rFonts w:ascii="Calibri" w:hAnsi="Calibri"/>
                <w:sz w:val="22"/>
              </w:rPr>
              <w:t>Senior VP &amp; Controller (Principal Accounting Officer)</w:t>
            </w:r>
          </w:p>
        </w:tc>
        <w:tc>
          <w:tcPr>
            <w:tcW w:type="dxa" w:w="1440"/>
          </w:tcPr>
          <w:p>
            <w:r>
              <w:rPr>
                <w:rFonts w:ascii="Calibri" w:hAnsi="Calibri"/>
                <w:sz w:val="22"/>
              </w:rPr>
              <w:t>Tax Withholding (Code F — Disposition)</w:t>
            </w:r>
          </w:p>
        </w:tc>
        <w:tc>
          <w:tcPr>
            <w:tcW w:type="dxa" w:w="1440"/>
          </w:tcPr>
          <w:p>
            <w:r>
              <w:rPr>
                <w:rFonts w:ascii="Calibri" w:hAnsi="Calibri"/>
                <w:sz w:val="22"/>
              </w:rPr>
              <w:t>1,161 shares</w:t>
            </w:r>
          </w:p>
        </w:tc>
        <w:tc>
          <w:tcPr>
            <w:tcW w:type="dxa" w:w="1440"/>
          </w:tcPr>
          <w:p>
            <w:r>
              <w:rPr>
                <w:rFonts w:ascii="Calibri" w:hAnsi="Calibri"/>
                <w:sz w:val="22"/>
              </w:rPr>
              <w:t>June 1, 2026</w:t>
            </w:r>
          </w:p>
        </w:tc>
        <w:tc>
          <w:tcPr>
            <w:tcW w:type="dxa" w:w="1440"/>
          </w:tcPr>
          <w:p>
            <w:r>
              <w:rPr>
                <w:rFonts w:ascii="Calibri" w:hAnsi="Calibri"/>
                <w:sz w:val="22"/>
              </w:rPr>
              <w:t>Shares withheld for tax obligation on vesting; not a discretionary sale. Stephens announced retirement post-separation (June 25). Retains 65,286 shares.</w:t>
            </w:r>
          </w:p>
        </w:tc>
      </w:tr>
      <w:tr>
        <w:tc>
          <w:tcPr>
            <w:tcW w:type="dxa" w:w="1440"/>
          </w:tcPr>
          <w:p>
            <w:r>
              <w:rPr>
                <w:rFonts w:ascii="Calibri" w:hAnsi="Calibri"/>
                <w:sz w:val="22"/>
              </w:rPr>
              <w:t>Rafael Oliveira</w:t>
            </w:r>
          </w:p>
        </w:tc>
        <w:tc>
          <w:tcPr>
            <w:tcW w:type="dxa" w:w="1440"/>
          </w:tcPr>
          <w:p>
            <w:r>
              <w:rPr>
                <w:rFonts w:ascii="Calibri" w:hAnsi="Calibri"/>
                <w:sz w:val="22"/>
              </w:rPr>
              <w:t>CEO, Coffee Operating Unit</w:t>
            </w:r>
          </w:p>
        </w:tc>
        <w:tc>
          <w:tcPr>
            <w:tcW w:type="dxa" w:w="1440"/>
          </w:tcPr>
          <w:p>
            <w:r>
              <w:rPr>
                <w:rFonts w:ascii="Calibri" w:hAnsi="Calibri"/>
                <w:sz w:val="22"/>
              </w:rPr>
              <w:t>RSU Grant (Code A — Acquisition)</w:t>
            </w:r>
          </w:p>
        </w:tc>
        <w:tc>
          <w:tcPr>
            <w:tcW w:type="dxa" w:w="1440"/>
          </w:tcPr>
          <w:p>
            <w:r>
              <w:rPr>
                <w:rFonts w:ascii="Calibri" w:hAnsi="Calibri"/>
                <w:sz w:val="22"/>
              </w:rPr>
              <w:t>355,240 RSUs</w:t>
            </w:r>
          </w:p>
        </w:tc>
        <w:tc>
          <w:tcPr>
            <w:tcW w:type="dxa" w:w="1440"/>
          </w:tcPr>
          <w:p>
            <w:r>
              <w:rPr>
                <w:rFonts w:ascii="Calibri" w:hAnsi="Calibri"/>
                <w:sz w:val="22"/>
              </w:rPr>
              <w:t>April 27, 2026</w:t>
            </w:r>
          </w:p>
        </w:tc>
        <w:tc>
          <w:tcPr>
            <w:tcW w:type="dxa" w:w="1440"/>
          </w:tcPr>
          <w:p>
            <w:r>
              <w:rPr>
                <w:rFonts w:ascii="Calibri" w:hAnsi="Calibri"/>
                <w:sz w:val="22"/>
              </w:rPr>
              <w:t>Routine annual RSU grant; Oliveira subsequently announced departure (June 23, 2026). Grant likely subject to forfeiture provisions given early departure.</w:t>
            </w:r>
          </w:p>
        </w:tc>
      </w:tr>
    </w:tbl>
    <w:p>
      <w:r>
        <w:rPr>
          <w:rFonts w:ascii="Calibri" w:hAnsi="Calibri"/>
          <w:i/>
          <w:color w:val="525866"/>
          <w:sz w:val="22"/>
        </w:rPr>
        <w:t>Source: Insider Transaction Data (SEC Form 4 Filings). All transactions are Code F (tax withholding on vesting) or Code A (grant/award) — neither constitutes an open-market buy or discretionary sell. There are no open-market purchases (Code P) or open-market sales (Code S) in the period, which is neither a positive nor negative signal. The Oliveira RSU grant (355,240 units, April 27) is notable in retrospect given his June 23 departure announcement; the grant is likely subject to forfeiture provisions.</w:t>
      </w:r>
    </w:p>
    <w:p>
      <w:r>
        <w:rPr>
          <w:rFonts w:ascii="Calibri" w:hAnsi="Calibri"/>
          <w:b/>
          <w:i/>
          <w:color w:val="525866"/>
          <w:sz w:val="22"/>
        </w:rPr>
        <w:t>— End of Report —</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