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Keurig Dr Pepper (KDP)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Keurig Dr Pepper Inc.</w:t>
            </w:r>
          </w:p>
        </w:tc>
        <w:tc>
          <w:tcPr>
            <w:tcW w:type="dxa" w:w="2160"/>
          </w:tcPr>
          <w:p>
            <w:r>
              <w:rPr>
                <w:rFonts w:ascii="Calibri" w:hAnsi="Calibri"/>
                <w:b/>
                <w:sz w:val="22"/>
              </w:rPr>
              <w:t>Ticker</w:t>
            </w:r>
          </w:p>
        </w:tc>
        <w:tc>
          <w:tcPr>
            <w:tcW w:type="dxa" w:w="2160"/>
          </w:tcPr>
          <w:p>
            <w:r>
              <w:rPr>
                <w:rFonts w:ascii="Calibri" w:hAnsi="Calibri"/>
                <w:sz w:val="22"/>
              </w:rPr>
              <w:t>KDP US</w:t>
            </w:r>
          </w:p>
        </w:tc>
      </w:tr>
      <w:tr>
        <w:tc>
          <w:tcPr>
            <w:tcW w:type="dxa" w:w="2160"/>
          </w:tcPr>
          <w:p>
            <w:r>
              <w:rPr>
                <w:rFonts w:ascii="Calibri" w:hAnsi="Calibri"/>
                <w:b/>
                <w:sz w:val="22"/>
              </w:rPr>
              <w:t>Reporting Period</w:t>
            </w:r>
          </w:p>
        </w:tc>
        <w:tc>
          <w:tcPr>
            <w:tcW w:type="dxa" w:w="2160"/>
          </w:tcPr>
          <w:p>
            <w:r>
              <w:rPr>
                <w:rFonts w:ascii="Calibri" w:hAnsi="Calibri"/>
                <w:sz w:val="22"/>
              </w:rPr>
              <w:t>Q2 2026 (quarter ending June 30, 2026)</w:t>
            </w:r>
          </w:p>
        </w:tc>
        <w:tc>
          <w:tcPr>
            <w:tcW w:type="dxa" w:w="2160"/>
          </w:tcPr>
          <w:p>
            <w:r>
              <w:rPr>
                <w:rFonts w:ascii="Calibri" w:hAnsi="Calibri"/>
                <w:b/>
                <w:sz w:val="22"/>
              </w:rPr>
              <w:t>Expected Report Date</w:t>
            </w:r>
          </w:p>
        </w:tc>
        <w:tc>
          <w:tcPr>
            <w:tcW w:type="dxa" w:w="2160"/>
          </w:tcPr>
          <w:p>
            <w:r>
              <w:rPr>
                <w:rFonts w:ascii="Calibri" w:hAnsi="Calibri"/>
                <w:sz w:val="22"/>
              </w:rPr>
              <w:t>~Late July / Early August 2026</w:t>
            </w:r>
          </w:p>
        </w:tc>
      </w:tr>
      <w:tr>
        <w:tc>
          <w:tcPr>
            <w:tcW w:type="dxa" w:w="2160"/>
          </w:tcPr>
          <w:p>
            <w:r>
              <w:rPr>
                <w:rFonts w:ascii="Calibri" w:hAnsi="Calibri"/>
                <w:b/>
                <w:sz w:val="22"/>
              </w:rPr>
              <w:t>Last Earnings</w:t>
            </w:r>
          </w:p>
        </w:tc>
        <w:tc>
          <w:tcPr>
            <w:tcW w:type="dxa" w:w="2160"/>
          </w:tcPr>
          <w:p>
            <w:r>
              <w:rPr>
                <w:rFonts w:ascii="Calibri" w:hAnsi="Calibri"/>
                <w:sz w:val="22"/>
              </w:rPr>
              <w:t>April 23, 2026 (Q1 2026)</w:t>
            </w:r>
          </w:p>
        </w:tc>
        <w:tc>
          <w:tcPr>
            <w:tcW w:type="dxa" w:w="2160"/>
          </w:tcPr>
          <w:p>
            <w:r>
              <w:rPr>
                <w:rFonts w:ascii="Calibri" w:hAnsi="Calibri"/>
                <w:b/>
                <w:sz w:val="22"/>
              </w:rPr>
              <w:t>Prepared</w:t>
            </w:r>
          </w:p>
        </w:tc>
        <w:tc>
          <w:tcPr>
            <w:tcW w:type="dxa" w:w="2160"/>
          </w:tcPr>
          <w:p>
            <w:r>
              <w:rPr>
                <w:rFonts w:ascii="Calibri" w:hAnsi="Calibri"/>
                <w:sz w:val="22"/>
              </w:rPr>
              <w:t>August 5,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is a manageable bar for U.S. Refreshment Beverages, but the single biggest swing factor is whether U.S. Coffee operating income shows the promised sequential improvement from Q1's trough, and whether JDE Peet's first full quarter of consolidation lands in line with the $8.5–8.7B full-year contribution range.</w:t>
      </w:r>
    </w:p>
    <w:p>
      <w:r>
        <w:rPr>
          <w:rFonts w:ascii="Calibri" w:hAnsi="Calibri"/>
          <w:color w:val="525866"/>
          <w:sz w:val="22"/>
        </w:rPr>
        <w:t xml:space="preserve">Heading into Q2 2026, KDP's bar is set by a consensus adjusted EPS of ~$0.575 (vs. $0.49 in Q2 2025, +17% YoY), with total company net sales consensus of ~$7.24B reflecting the first full quarter of JDE Peet's consolidation. </w:t>
      </w:r>
      <w:r>
        <w:rPr>
          <w:rFonts w:ascii="Calibri" w:hAnsi="Calibri"/>
          <w:color w:val="525866"/>
          <w:sz w:val="22"/>
        </w:rPr>
        <w:t xml:space="preserve">Management's tone on the April 23 Q1 call was explicitly constructive: Q1 was characterized as the peak year-over-year profit pressure quarter for U.S. Coffee, with Q2 expected to show modest improvement and the back half to accelerate meaningfully as green coffee hedges roll off and synergies build — a phasing narrative that sets a clear directional bar for the print. </w:t>
      </w:r>
      <w:r>
        <w:rPr>
          <w:rFonts w:ascii="Calibri" w:hAnsi="Calibri"/>
          <w:color w:val="525866"/>
          <w:sz w:val="22"/>
        </w:rPr>
        <w:t xml:space="preserve">Estimate revisions have drifted modestly lower since the Q1 print (Q2 EPS consensus slipped from ~$0.574 to ~$0.575 on a rounded basis, essentially flat), suggesting the Street has largely accepted management's phasing guidance without adding cushion or risk. </w:t>
      </w:r>
      <w:r>
        <w:rPr>
          <w:rFonts w:ascii="Calibri" w:hAnsi="Calibri"/>
          <w:color w:val="525866"/>
          <w:sz w:val="22"/>
        </w:rPr>
        <w:t xml:space="preserve">The stock has rallied ~7.8% since the Q1 earnings date (April 23 close: $28.53 → August 5: $30.75), outperforming XLP (+2.2%) but lagging the S&amp;P 500 (+8.7%), with the re-rating driven primarily by multiple recovery from the JDE Peet's acquisition discount rather than estimate upgrades — NTM P/E has compressed from ~15.6x a year ago to ~12.8x today, leaving the stock still at a meaningful discount to historical norms. </w:t>
      </w:r>
      <w:r>
        <w:rPr>
          <w:rFonts w:ascii="Calibri" w:hAnsi="Calibri"/>
          <w:color w:val="525866"/>
          <w:sz w:val="22"/>
        </w:rPr>
        <w:t>The key wildcard is the Coffee JV / convertible preferred cost structure beginning in Q2 (approximately $190M pretax Coffee JV costs flowing through noncontrolling interest, plus convertible preferred costs), which adds complexity to the EPS bridge and could create confusion around reported vs. adjusted figures; additionally, the June 23 departure announcement of Global Coffee Co. CEO Rafa Oliveira introduces execution risk on the separation timeline.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the Street is modeling meaningful YoY EPS growth driven by JDE Peet's consolidation, but U.S. Coffee operating income is the bigger swing factor given the explicit Q1-trough / Q2-improvement phasing narrative management laid out. U.S. Refreshment Beverages is expected to moderate from Q1's elevated 11.9% growth but remain the standout segment.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$3.976B</w:t>
            </w:r>
          </w:p>
        </w:tc>
        <w:tc>
          <w:tcPr>
            <w:tcW w:type="dxa" w:w="1234"/>
          </w:tcPr>
          <w:p>
            <w:r>
              <w:rPr>
                <w:rFonts w:ascii="Calibri" w:hAnsi="Calibri"/>
                <w:sz w:val="22"/>
              </w:rPr>
              <w:t>$4.163B</w:t>
            </w:r>
          </w:p>
        </w:tc>
        <w:tc>
          <w:tcPr>
            <w:tcW w:type="dxa" w:w="1234"/>
          </w:tcPr>
          <w:p>
            <w:r>
              <w:rPr>
                <w:rFonts w:ascii="Calibri" w:hAnsi="Calibri"/>
                <w:sz w:val="22"/>
              </w:rPr>
              <w:t>$7.245B</w:t>
            </w:r>
          </w:p>
        </w:tc>
        <w:tc>
          <w:tcPr>
            <w:tcW w:type="dxa" w:w="1234"/>
          </w:tcPr>
          <w:p>
            <w:r>
              <w:rPr>
                <w:rFonts w:ascii="Calibri" w:hAnsi="Calibri"/>
                <w:sz w:val="22"/>
              </w:rPr>
              <w:t>+74.0% YoY (JDE Peet’s consolidation)</w:t>
            </w:r>
          </w:p>
        </w:tc>
        <w:tc>
          <w:tcPr>
            <w:tcW w:type="dxa" w:w="1234"/>
          </w:tcPr>
          <w:p>
            <w:r>
              <w:rPr>
                <w:rFonts w:ascii="Calibri" w:hAnsi="Calibri"/>
                <w:sz w:val="22"/>
              </w:rPr>
              <w:t>$25.9B–$26.4B FY2026</w:t>
            </w:r>
          </w:p>
        </w:tc>
        <w:tc>
          <w:tcPr>
            <w:tcW w:type="dxa" w:w="1234"/>
          </w:tcPr>
          <w:p>
            <w:r>
              <w:rPr>
                <w:rFonts w:ascii="Calibri" w:hAnsi="Calibri"/>
                <w:sz w:val="22"/>
              </w:rPr>
              <w:t>Q2 cons. implies ~$26.3B annualized run-rate; within range</w:t>
            </w:r>
          </w:p>
        </w:tc>
      </w:tr>
      <w:tr>
        <w:tc>
          <w:tcPr>
            <w:tcW w:type="dxa" w:w="1234"/>
          </w:tcPr>
          <w:p>
            <w:r>
              <w:rPr>
                <w:rFonts w:ascii="Calibri" w:hAnsi="Calibri"/>
                <w:sz w:val="22"/>
              </w:rPr>
              <w:t>Adj. EPS - Diluted - Operating ($)</w:t>
            </w:r>
          </w:p>
        </w:tc>
        <w:tc>
          <w:tcPr>
            <w:tcW w:type="dxa" w:w="1234"/>
          </w:tcPr>
          <w:p>
            <w:r>
              <w:rPr>
                <w:rFonts w:ascii="Calibri" w:hAnsi="Calibri"/>
                <w:sz w:val="22"/>
              </w:rPr>
              <w:t>$0.39</w:t>
            </w:r>
          </w:p>
        </w:tc>
        <w:tc>
          <w:tcPr>
            <w:tcW w:type="dxa" w:w="1234"/>
          </w:tcPr>
          <w:p>
            <w:r>
              <w:rPr>
                <w:rFonts w:ascii="Calibri" w:hAnsi="Calibri"/>
                <w:sz w:val="22"/>
              </w:rPr>
              <w:t>$0.49</w:t>
            </w:r>
          </w:p>
        </w:tc>
        <w:tc>
          <w:tcPr>
            <w:tcW w:type="dxa" w:w="1234"/>
          </w:tcPr>
          <w:p>
            <w:r>
              <w:rPr>
                <w:rFonts w:ascii="Calibri" w:hAnsi="Calibri"/>
                <w:sz w:val="22"/>
              </w:rPr>
              <w:t>$0.575</w:t>
            </w:r>
          </w:p>
        </w:tc>
        <w:tc>
          <w:tcPr>
            <w:tcW w:type="dxa" w:w="1234"/>
          </w:tcPr>
          <w:p>
            <w:r>
              <w:rPr>
                <w:rFonts w:ascii="Calibri" w:hAnsi="Calibri"/>
                <w:sz w:val="22"/>
              </w:rPr>
              <w:t>+17.3% YoY</w:t>
            </w:r>
          </w:p>
        </w:tc>
        <w:tc>
          <w:tcPr>
            <w:tcW w:type="dxa" w:w="1234"/>
          </w:tcPr>
          <w:p>
            <w:r>
              <w:rPr>
                <w:rFonts w:ascii="Calibri" w:hAnsi="Calibri"/>
                <w:sz w:val="22"/>
              </w:rPr>
              <w:t>Low double-digit EPS growth (CC); FY2026 cons. $2.439</w:t>
            </w:r>
          </w:p>
        </w:tc>
        <w:tc>
          <w:tcPr>
            <w:tcW w:type="dxa" w:w="1234"/>
          </w:tcPr>
          <w:p>
            <w:r>
              <w:rPr>
                <w:rFonts w:ascii="Calibri" w:hAnsi="Calibri"/>
                <w:sz w:val="22"/>
              </w:rPr>
              <w:t>FY cons. $2.439 implies ~10–12% growth; at low end of “low double-digit”</w:t>
            </w:r>
          </w:p>
        </w:tc>
      </w:tr>
      <w:tr>
        <w:tc>
          <w:tcPr>
            <w:tcW w:type="dxa" w:w="1234"/>
          </w:tcPr>
          <w:p>
            <w:r>
              <w:rPr>
                <w:rFonts w:ascii="Calibri" w:hAnsi="Calibri"/>
                <w:sz w:val="22"/>
              </w:rPr>
              <w:t>U.S. Refreshment Beverages Revenue ($B)</w:t>
            </w:r>
          </w:p>
        </w:tc>
        <w:tc>
          <w:tcPr>
            <w:tcW w:type="dxa" w:w="1234"/>
          </w:tcPr>
          <w:p>
            <w:r>
              <w:rPr>
                <w:rFonts w:ascii="Calibri" w:hAnsi="Calibri"/>
                <w:sz w:val="22"/>
              </w:rPr>
              <w:t>$2.599B</w:t>
            </w:r>
          </w:p>
        </w:tc>
        <w:tc>
          <w:tcPr>
            <w:tcW w:type="dxa" w:w="1234"/>
          </w:tcPr>
          <w:p>
            <w:r>
              <w:rPr>
                <w:rFonts w:ascii="Calibri" w:hAnsi="Calibri"/>
                <w:sz w:val="22"/>
              </w:rPr>
              <w:t>$2.660B</w:t>
            </w:r>
          </w:p>
        </w:tc>
        <w:tc>
          <w:tcPr>
            <w:tcW w:type="dxa" w:w="1234"/>
          </w:tcPr>
          <w:p>
            <w:r>
              <w:rPr>
                <w:rFonts w:ascii="Calibri" w:hAnsi="Calibri"/>
                <w:sz w:val="22"/>
              </w:rPr>
              <w:t>$2.854B</w:t>
            </w:r>
          </w:p>
        </w:tc>
        <w:tc>
          <w:tcPr>
            <w:tcW w:type="dxa" w:w="1234"/>
          </w:tcPr>
          <w:p>
            <w:r>
              <w:rPr>
                <w:rFonts w:ascii="Calibri" w:hAnsi="Calibri"/>
                <w:sz w:val="22"/>
              </w:rPr>
              <w:t>+7.3% YoY</w:t>
            </w:r>
          </w:p>
        </w:tc>
        <w:tc>
          <w:tcPr>
            <w:tcW w:type="dxa" w:w="1234"/>
          </w:tcPr>
          <w:p>
            <w:r>
              <w:rPr>
                <w:rFonts w:ascii="Calibri" w:hAnsi="Calibri"/>
                <w:sz w:val="22"/>
              </w:rPr>
              <w:t>Outsized contributor to MSD legacy KDP growth</w:t>
            </w:r>
          </w:p>
        </w:tc>
        <w:tc>
          <w:tcPr>
            <w:tcW w:type="dxa" w:w="1234"/>
          </w:tcPr>
          <w:p>
            <w:r>
              <w:rPr>
                <w:rFonts w:ascii="Calibri" w:hAnsi="Calibri"/>
                <w:sz w:val="22"/>
              </w:rPr>
              <w:t>Tracking above MSD guide; positive</w:t>
            </w:r>
          </w:p>
        </w:tc>
      </w:tr>
      <w:tr>
        <w:tc>
          <w:tcPr>
            <w:tcW w:type="dxa" w:w="1234"/>
          </w:tcPr>
          <w:p>
            <w:r>
              <w:rPr>
                <w:rFonts w:ascii="Calibri" w:hAnsi="Calibri"/>
                <w:sz w:val="22"/>
              </w:rPr>
              <w:t>U.S. Coffee Revenue ($B)</w:t>
            </w:r>
          </w:p>
        </w:tc>
        <w:tc>
          <w:tcPr>
            <w:tcW w:type="dxa" w:w="1234"/>
          </w:tcPr>
          <w:p>
            <w:r>
              <w:rPr>
                <w:rFonts w:ascii="Calibri" w:hAnsi="Calibri"/>
                <w:sz w:val="22"/>
              </w:rPr>
              <w:t>$0.857B</w:t>
            </w:r>
          </w:p>
        </w:tc>
        <w:tc>
          <w:tcPr>
            <w:tcW w:type="dxa" w:w="1234"/>
          </w:tcPr>
          <w:p>
            <w:r>
              <w:rPr>
                <w:rFonts w:ascii="Calibri" w:hAnsi="Calibri"/>
                <w:sz w:val="22"/>
              </w:rPr>
              <w:t>$0.948B</w:t>
            </w:r>
          </w:p>
        </w:tc>
        <w:tc>
          <w:tcPr>
            <w:tcW w:type="dxa" w:w="1234"/>
          </w:tcPr>
          <w:p>
            <w:r>
              <w:rPr>
                <w:rFonts w:ascii="Calibri" w:hAnsi="Calibri"/>
                <w:sz w:val="22"/>
              </w:rPr>
              <w:t>$0.940B</w:t>
            </w:r>
          </w:p>
        </w:tc>
        <w:tc>
          <w:tcPr>
            <w:tcW w:type="dxa" w:w="1234"/>
          </w:tcPr>
          <w:p>
            <w:r>
              <w:rPr>
                <w:rFonts w:ascii="Calibri" w:hAnsi="Calibri"/>
                <w:sz w:val="22"/>
              </w:rPr>
              <w:t>-0.8% YoY</w:t>
            </w:r>
          </w:p>
        </w:tc>
        <w:tc>
          <w:tcPr>
            <w:tcW w:type="dxa" w:w="1234"/>
          </w:tcPr>
          <w:p>
            <w:r>
              <w:rPr>
                <w:rFonts w:ascii="Calibri" w:hAnsi="Calibri"/>
                <w:sz w:val="22"/>
              </w:rPr>
              <w:t>Modest YoY decline expected in H1; improvement in H2</w:t>
            </w:r>
          </w:p>
        </w:tc>
        <w:tc>
          <w:tcPr>
            <w:tcW w:type="dxa" w:w="1234"/>
          </w:tcPr>
          <w:p>
            <w:r>
              <w:rPr>
                <w:rFonts w:ascii="Calibri" w:hAnsi="Calibri"/>
                <w:sz w:val="22"/>
              </w:rPr>
              <w:t>Slight improvement vs. Q1’s -2.3%; in line with guidance</w:t>
            </w:r>
          </w:p>
        </w:tc>
      </w:tr>
      <w:tr>
        <w:tc>
          <w:tcPr>
            <w:tcW w:type="dxa" w:w="1234"/>
          </w:tcPr>
          <w:p>
            <w:r>
              <w:rPr>
                <w:rFonts w:ascii="Calibri" w:hAnsi="Calibri"/>
                <w:sz w:val="22"/>
              </w:rPr>
              <w:t>U.S. Coffee Operating Income ($M)</w:t>
            </w:r>
          </w:p>
        </w:tc>
        <w:tc>
          <w:tcPr>
            <w:tcW w:type="dxa" w:w="1234"/>
          </w:tcPr>
          <w:p>
            <w:r>
              <w:rPr>
                <w:rFonts w:ascii="Calibri" w:hAnsi="Calibri"/>
                <w:sz w:val="22"/>
              </w:rPr>
              <w:t>$199M</w:t>
            </w:r>
          </w:p>
        </w:tc>
        <w:tc>
          <w:tcPr>
            <w:tcW w:type="dxa" w:w="1234"/>
          </w:tcPr>
          <w:p>
            <w:r>
              <w:rPr>
                <w:rFonts w:ascii="Calibri" w:hAnsi="Calibri"/>
                <w:sz w:val="22"/>
              </w:rPr>
              <w:t>$299M</w:t>
            </w:r>
          </w:p>
        </w:tc>
        <w:tc>
          <w:tcPr>
            <w:tcW w:type="dxa" w:w="1234"/>
          </w:tcPr>
          <w:p>
            <w:r>
              <w:rPr>
                <w:rFonts w:ascii="Calibri" w:hAnsi="Calibri"/>
                <w:sz w:val="22"/>
              </w:rPr>
              <w:t>$254M</w:t>
            </w:r>
          </w:p>
        </w:tc>
        <w:tc>
          <w:tcPr>
            <w:tcW w:type="dxa" w:w="1234"/>
          </w:tcPr>
          <w:p>
            <w:r>
              <w:rPr>
                <w:rFonts w:ascii="Calibri" w:hAnsi="Calibri"/>
                <w:sz w:val="22"/>
              </w:rPr>
              <w:t>-15.1% YoY</w:t>
            </w:r>
          </w:p>
        </w:tc>
        <w:tc>
          <w:tcPr>
            <w:tcW w:type="dxa" w:w="1234"/>
          </w:tcPr>
          <w:p>
            <w:r>
              <w:rPr>
                <w:rFonts w:ascii="Calibri" w:hAnsi="Calibri"/>
                <w:sz w:val="22"/>
              </w:rPr>
              <w:t>Modest full-year YoY decline; Q1 was the trough</w:t>
            </w:r>
          </w:p>
        </w:tc>
        <w:tc>
          <w:tcPr>
            <w:tcW w:type="dxa" w:w="1234"/>
          </w:tcPr>
          <w:p>
            <w:r>
              <w:rPr>
                <w:rFonts w:ascii="Calibri" w:hAnsi="Calibri"/>
                <w:sz w:val="22"/>
              </w:rPr>
              <w:t>Sequential improvement from Q1’s $199M; in line with phasing guide</w:t>
            </w:r>
          </w:p>
        </w:tc>
      </w:tr>
    </w:tbl>
    <w:p>
      <w:r>
        <w:rPr>
          <w:rFonts w:ascii="Calibri" w:hAnsi="Calibri"/>
          <w:i/>
          <w:color w:val="525866"/>
          <w:sz w:val="22"/>
        </w:rPr>
        <w:t>Source: Visible Alpha Consensus and Actuals Data. All consensus figures as of August 5, 2026. Q2 2026 total revenue consensus reflects first full quarter of JDE Peet’s consolidation (closed April 1, 2026). YoY comparisons for total revenue are not directly comparable due to the acquisition.</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Adjusted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$0.39</w:t>
            </w:r>
          </w:p>
        </w:tc>
        <w:tc>
          <w:tcPr>
            <w:tcW w:type="dxa" w:w="1728"/>
          </w:tcPr>
          <w:p>
            <w:r>
              <w:rPr>
                <w:rFonts w:ascii="Calibri" w:hAnsi="Calibri"/>
                <w:sz w:val="22"/>
              </w:rPr>
              <w:t>$0.370</w:t>
            </w:r>
          </w:p>
        </w:tc>
        <w:tc>
          <w:tcPr>
            <w:tcW w:type="dxa" w:w="1728"/>
          </w:tcPr>
          <w:p>
            <w:r>
              <w:rPr>
                <w:rFonts w:ascii="Calibri" w:hAnsi="Calibri"/>
                <w:b/>
                <w:color w:val="30A46C"/>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$0.60</w:t>
            </w:r>
          </w:p>
        </w:tc>
        <w:tc>
          <w:tcPr>
            <w:tcW w:type="dxa" w:w="1728"/>
          </w:tcPr>
          <w:p>
            <w:r>
              <w:rPr>
                <w:rFonts w:ascii="Calibri" w:hAnsi="Calibri"/>
                <w:sz w:val="22"/>
              </w:rPr>
              <w:t>$0.589</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$0.54</w:t>
            </w:r>
          </w:p>
        </w:tc>
        <w:tc>
          <w:tcPr>
            <w:tcW w:type="dxa" w:w="1728"/>
          </w:tcPr>
          <w:p>
            <w:r>
              <w:rPr>
                <w:rFonts w:ascii="Calibri" w:hAnsi="Calibri"/>
                <w:sz w:val="22"/>
              </w:rPr>
              <w:t>$0.537</w:t>
            </w:r>
          </w:p>
        </w:tc>
        <w:tc>
          <w:tcPr>
            <w:tcW w:type="dxa" w:w="1728"/>
          </w:tcPr>
          <w:p>
            <w:r>
              <w:rPr>
                <w:rFonts w:ascii="Calibri" w:hAnsi="Calibri"/>
                <w:b/>
                <w:color w:val="30A46C"/>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$0.49</w:t>
            </w:r>
          </w:p>
        </w:tc>
        <w:tc>
          <w:tcPr>
            <w:tcW w:type="dxa" w:w="1728"/>
          </w:tcPr>
          <w:p>
            <w:r>
              <w:rPr>
                <w:rFonts w:ascii="Calibri" w:hAnsi="Calibri"/>
                <w:sz w:val="22"/>
              </w:rPr>
              <w:t>$0.483</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$0.42</w:t>
            </w:r>
          </w:p>
        </w:tc>
        <w:tc>
          <w:tcPr>
            <w:tcW w:type="dxa" w:w="1728"/>
          </w:tcPr>
          <w:p>
            <w:r>
              <w:rPr>
                <w:rFonts w:ascii="Calibri" w:hAnsi="Calibri"/>
                <w:sz w:val="22"/>
              </w:rPr>
              <w:t>$0.381</w:t>
            </w:r>
          </w:p>
        </w:tc>
        <w:tc>
          <w:tcPr>
            <w:tcW w:type="dxa" w:w="1728"/>
          </w:tcPr>
          <w:p>
            <w:r>
              <w:rPr>
                <w:rFonts w:ascii="Calibri" w:hAnsi="Calibri"/>
                <w:b/>
                <w:color w:val="30A46C"/>
                <w:sz w:val="22"/>
              </w:rPr>
              <w:t>+10.2%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$0.58</w:t>
            </w:r>
          </w:p>
        </w:tc>
        <w:tc>
          <w:tcPr>
            <w:tcW w:type="dxa" w:w="1728"/>
          </w:tcPr>
          <w:p>
            <w:r>
              <w:rPr>
                <w:rFonts w:ascii="Calibri" w:hAnsi="Calibri"/>
                <w:sz w:val="22"/>
              </w:rPr>
              <w:t>$0.571</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$0.51</w:t>
            </w:r>
          </w:p>
        </w:tc>
        <w:tc>
          <w:tcPr>
            <w:tcW w:type="dxa" w:w="1728"/>
          </w:tcPr>
          <w:p>
            <w:r>
              <w:rPr>
                <w:rFonts w:ascii="Calibri" w:hAnsi="Calibri"/>
                <w:sz w:val="22"/>
              </w:rPr>
              <w:t>$0.506</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KPI 2: U.S. Refreshment Beverages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$2.599B</w:t>
            </w:r>
          </w:p>
        </w:tc>
        <w:tc>
          <w:tcPr>
            <w:tcW w:type="dxa" w:w="1728"/>
          </w:tcPr>
          <w:p>
            <w:r>
              <w:rPr>
                <w:rFonts w:ascii="Calibri" w:hAnsi="Calibri"/>
                <w:sz w:val="22"/>
              </w:rPr>
              <w:t>$2.483B</w:t>
            </w:r>
          </w:p>
        </w:tc>
        <w:tc>
          <w:tcPr>
            <w:tcW w:type="dxa" w:w="1728"/>
          </w:tcPr>
          <w:p>
            <w:r>
              <w:rPr>
                <w:rFonts w:ascii="Calibri" w:hAnsi="Calibri"/>
                <w:b/>
                <w:color w:val="30A46C"/>
                <w:sz w:val="22"/>
              </w:rPr>
              <w:t>+4.7%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$2.721B</w:t>
            </w:r>
          </w:p>
        </w:tc>
        <w:tc>
          <w:tcPr>
            <w:tcW w:type="dxa" w:w="1728"/>
          </w:tcPr>
          <w:p>
            <w:r>
              <w:rPr>
                <w:rFonts w:ascii="Calibri" w:hAnsi="Calibri"/>
                <w:sz w:val="22"/>
              </w:rPr>
              <w:t>$2.674B</w:t>
            </w:r>
          </w:p>
        </w:tc>
        <w:tc>
          <w:tcPr>
            <w:tcW w:type="dxa" w:w="1728"/>
          </w:tcPr>
          <w:p>
            <w:r>
              <w:rPr>
                <w:rFonts w:ascii="Calibri" w:hAnsi="Calibri"/>
                <w:b/>
                <w:color w:val="30A46C"/>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$2.735B</w:t>
            </w:r>
          </w:p>
        </w:tc>
        <w:tc>
          <w:tcPr>
            <w:tcW w:type="dxa" w:w="1728"/>
          </w:tcPr>
          <w:p>
            <w:r>
              <w:rPr>
                <w:rFonts w:ascii="Calibri" w:hAnsi="Calibri"/>
                <w:sz w:val="22"/>
              </w:rPr>
              <w:t>$2.615B</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$2.660B</w:t>
            </w:r>
          </w:p>
        </w:tc>
        <w:tc>
          <w:tcPr>
            <w:tcW w:type="dxa" w:w="1728"/>
          </w:tcPr>
          <w:p>
            <w:r>
              <w:rPr>
                <w:rFonts w:ascii="Calibri" w:hAnsi="Calibri"/>
                <w:sz w:val="22"/>
              </w:rPr>
              <w:t>$2.657B</w:t>
            </w:r>
          </w:p>
        </w:tc>
        <w:tc>
          <w:tcPr>
            <w:tcW w:type="dxa" w:w="1728"/>
          </w:tcPr>
          <w:p>
            <w:r>
              <w:rPr>
                <w:rFonts w:ascii="Calibri" w:hAnsi="Calibri"/>
                <w:b/>
                <w:color w:val="30A46C"/>
                <w:sz w:val="22"/>
              </w:rPr>
              <w:t>+0.1%</w:t>
            </w:r>
          </w:p>
        </w:tc>
        <w:tc>
          <w:tcPr>
            <w:tcW w:type="dxa" w:w="1728"/>
          </w:tcPr>
          <w:p>
            <w:r>
              <w:rPr>
                <w:rFonts w:ascii="Calibri" w:hAnsi="Calibri"/>
                <w:b/>
                <w:color w:val="30A46C"/>
                <w:sz w:val="22"/>
              </w:rPr>
              <w:t>In Line</w:t>
            </w:r>
          </w:p>
        </w:tc>
      </w:tr>
      <w:tr>
        <w:tc>
          <w:tcPr>
            <w:tcW w:type="dxa" w:w="1728"/>
          </w:tcPr>
          <w:p>
            <w:r>
              <w:rPr>
                <w:rFonts w:ascii="Calibri" w:hAnsi="Calibri"/>
                <w:sz w:val="22"/>
              </w:rPr>
              <w:t>Q1 2025</w:t>
            </w:r>
          </w:p>
        </w:tc>
        <w:tc>
          <w:tcPr>
            <w:tcW w:type="dxa" w:w="1728"/>
          </w:tcPr>
          <w:p>
            <w:r>
              <w:rPr>
                <w:rFonts w:ascii="Calibri" w:hAnsi="Calibri"/>
                <w:sz w:val="22"/>
              </w:rPr>
              <w:t>$2.323B</w:t>
            </w:r>
          </w:p>
        </w:tc>
        <w:tc>
          <w:tcPr>
            <w:tcW w:type="dxa" w:w="1728"/>
          </w:tcPr>
          <w:p>
            <w:r>
              <w:rPr>
                <w:rFonts w:ascii="Calibri" w:hAnsi="Calibri"/>
                <w:sz w:val="22"/>
              </w:rPr>
              <w:t>$2.232B</w:t>
            </w:r>
          </w:p>
        </w:tc>
        <w:tc>
          <w:tcPr>
            <w:tcW w:type="dxa" w:w="1728"/>
          </w:tcPr>
          <w:p>
            <w:r>
              <w:rPr>
                <w:rFonts w:ascii="Calibri" w:hAnsi="Calibri"/>
                <w:b/>
                <w:color w:val="30A46C"/>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$2.441B</w:t>
            </w:r>
          </w:p>
        </w:tc>
        <w:tc>
          <w:tcPr>
            <w:tcW w:type="dxa" w:w="1728"/>
          </w:tcPr>
          <w:p>
            <w:r>
              <w:rPr>
                <w:rFonts w:ascii="Calibri" w:hAnsi="Calibri"/>
                <w:sz w:val="22"/>
              </w:rPr>
              <w:t>$2.374B</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$2.390B</w:t>
            </w:r>
          </w:p>
        </w:tc>
        <w:tc>
          <w:tcPr>
            <w:tcW w:type="dxa" w:w="1728"/>
          </w:tcPr>
          <w:p>
            <w:r>
              <w:rPr>
                <w:rFonts w:ascii="Calibri" w:hAnsi="Calibri"/>
                <w:sz w:val="22"/>
              </w:rPr>
              <w:t>$2.382B</w:t>
            </w:r>
          </w:p>
        </w:tc>
        <w:tc>
          <w:tcPr>
            <w:tcW w:type="dxa" w:w="1728"/>
          </w:tcPr>
          <w:p>
            <w:r>
              <w:rPr>
                <w:rFonts w:ascii="Calibri" w:hAnsi="Calibri"/>
                <w:b/>
                <w:color w:val="30A46C"/>
                <w:sz w:val="22"/>
              </w:rPr>
              <w:t>+0.3%</w:t>
            </w:r>
          </w:p>
        </w:tc>
        <w:tc>
          <w:tcPr>
            <w:tcW w:type="dxa" w:w="1728"/>
          </w:tcPr>
          <w:p>
            <w:r>
              <w:rPr>
                <w:rFonts w:ascii="Calibri" w:hAnsi="Calibri"/>
                <w:b/>
                <w:color w:val="30A46C"/>
                <w:sz w:val="22"/>
              </w:rPr>
              <w:t>In Line</w:t>
            </w:r>
          </w:p>
        </w:tc>
      </w:tr>
      <w:tr>
        <w:tc>
          <w:tcPr>
            <w:tcW w:type="dxa" w:w="1728"/>
          </w:tcPr>
          <w:p>
            <w:r>
              <w:rPr>
                <w:rFonts w:ascii="Calibri" w:hAnsi="Calibri"/>
                <w:sz w:val="22"/>
              </w:rPr>
              <w:t>Q2 2024</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KDP has beaten adjusted EPS consensus in every quarter with available data (7 of 7), with the largest beat in Q1 2025 (+10.2%) and Q1 2026 (+5.4%). U.S. Refreshment Beverages has beaten or matched consensus in all 7 available quarters, with beats accelerating in magnitude in 2025–2026 as energy/sports hydration gained share. The consistent beat pattern suggests the Street has been systematically conservative on the beverage segment, though the Q2 2026 bar is higher given the JDE Peet’s consolidation adds complexity.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has been reaffirmed twice since the Q1 print (at the Deutsche Bank Consumer Conference on June 3 and via 8-K on June 23) with no changes to the $25.9–26.4B net sales or low double-digit EPS growth targets. Tone is constructive but management’s credibility on the Coffee recovery phasing is the key test for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Net Sales</w:t>
            </w:r>
          </w:p>
        </w:tc>
        <w:tc>
          <w:tcPr>
            <w:tcW w:type="dxa" w:w="1728"/>
          </w:tcPr>
          <w:p>
            <w:r>
              <w:rPr>
                <w:rFonts w:ascii="Calibri" w:hAnsi="Calibri"/>
                <w:sz w:val="22"/>
              </w:rPr>
              <w:t>$25.9B–$26.4B (4%–6% CC growth for legacy KDP + $8.5B–$8.7B JDE Peet’s contribution)</w:t>
            </w:r>
          </w:p>
        </w:tc>
        <w:tc>
          <w:tcPr>
            <w:tcW w:type="dxa" w:w="1728"/>
          </w:tcPr>
          <w:p>
            <w:r>
              <w:rPr>
                <w:rFonts w:ascii="Calibri" w:hAnsi="Calibri"/>
                <w:sz w:val="22"/>
              </w:rPr>
              <w:t>Unchanged</w:t>
            </w:r>
          </w:p>
        </w:tc>
        <w:tc>
          <w:tcPr>
            <w:tcW w:type="dxa" w:w="1728"/>
          </w:tcPr>
          <w:p>
            <w:r>
              <w:rPr>
                <w:rFonts w:ascii="Calibri" w:hAnsi="Calibri"/>
                <w:sz w:val="22"/>
              </w:rPr>
              <w:t>$26.26B</w:t>
            </w:r>
          </w:p>
        </w:tc>
        <w:tc>
          <w:tcPr>
            <w:tcW w:type="dxa" w:w="1728"/>
          </w:tcPr>
          <w:p>
            <w:r>
              <w:rPr>
                <w:rFonts w:ascii="Calibri" w:hAnsi="Calibri"/>
                <w:sz w:val="22"/>
              </w:rPr>
              <w:t>Reaffirmed at Deutsche Bank Conference (Jun 3) and via 8-K (Jun 23); no change in range or tone</w:t>
            </w:r>
          </w:p>
        </w:tc>
      </w:tr>
      <w:tr>
        <w:tc>
          <w:tcPr>
            <w:tcW w:type="dxa" w:w="1728"/>
          </w:tcPr>
          <w:p>
            <w:r>
              <w:rPr>
                <w:rFonts w:ascii="Calibri" w:hAnsi="Calibri"/>
                <w:sz w:val="22"/>
              </w:rPr>
              <w:t>FY2026 Adj. EPS Growth (CC)</w:t>
            </w:r>
          </w:p>
        </w:tc>
        <w:tc>
          <w:tcPr>
            <w:tcW w:type="dxa" w:w="1728"/>
          </w:tcPr>
          <w:p>
            <w:r>
              <w:rPr>
                <w:rFonts w:ascii="Calibri" w:hAnsi="Calibri"/>
                <w:sz w:val="22"/>
              </w:rPr>
              <w:t>Low double-digit growth (incl. 6–7pp from JDE Peet’s; 4%–6% for legacy KDP)</w:t>
            </w:r>
          </w:p>
        </w:tc>
        <w:tc>
          <w:tcPr>
            <w:tcW w:type="dxa" w:w="1728"/>
          </w:tcPr>
          <w:p>
            <w:r>
              <w:rPr>
                <w:rFonts w:ascii="Calibri" w:hAnsi="Calibri"/>
                <w:sz w:val="22"/>
              </w:rPr>
              <w:t>Unchanged</w:t>
            </w:r>
          </w:p>
        </w:tc>
        <w:tc>
          <w:tcPr>
            <w:tcW w:type="dxa" w:w="1728"/>
          </w:tcPr>
          <w:p>
            <w:r>
              <w:rPr>
                <w:rFonts w:ascii="Calibri" w:hAnsi="Calibri"/>
                <w:sz w:val="22"/>
              </w:rPr>
              <w:t>$2.439 (FY2026 cons.); ~10–12% growth vs. FY2025</w:t>
            </w:r>
          </w:p>
        </w:tc>
        <w:tc>
          <w:tcPr>
            <w:tcW w:type="dxa" w:w="1728"/>
          </w:tcPr>
          <w:p>
            <w:r>
              <w:rPr>
                <w:rFonts w:ascii="Calibri" w:hAnsi="Calibri"/>
                <w:sz w:val="22"/>
              </w:rPr>
              <w:t>Reaffirmed Jun 3 and Jun 23; consensus at low end of “low double-digit” range</w:t>
            </w:r>
          </w:p>
        </w:tc>
      </w:tr>
      <w:tr>
        <w:tc>
          <w:tcPr>
            <w:tcW w:type="dxa" w:w="1728"/>
          </w:tcPr>
          <w:p>
            <w:r>
              <w:rPr>
                <w:rFonts w:ascii="Calibri" w:hAnsi="Calibri"/>
                <w:sz w:val="22"/>
              </w:rPr>
              <w:t>Q2 2026 EPS Phasing</w:t>
            </w:r>
          </w:p>
        </w:tc>
        <w:tc>
          <w:tcPr>
            <w:tcW w:type="dxa" w:w="1728"/>
          </w:tcPr>
          <w:p>
            <w:r>
              <w:rPr>
                <w:rFonts w:ascii="Calibri" w:hAnsi="Calibri"/>
                <w:sz w:val="22"/>
              </w:rPr>
              <w:t>“High single-digit EPS growth in Q2, with further acceleration in the back half”</w:t>
            </w:r>
          </w:p>
        </w:tc>
        <w:tc>
          <w:tcPr>
            <w:tcW w:type="dxa" w:w="1728"/>
          </w:tcPr>
          <w:p>
            <w:r>
              <w:rPr>
                <w:rFonts w:ascii="Calibri" w:hAnsi="Calibri"/>
                <w:sz w:val="22"/>
              </w:rPr>
              <w:t>Unchanged</w:t>
            </w:r>
          </w:p>
        </w:tc>
        <w:tc>
          <w:tcPr>
            <w:tcW w:type="dxa" w:w="1728"/>
          </w:tcPr>
          <w:p>
            <w:r>
              <w:rPr>
                <w:rFonts w:ascii="Calibri" w:hAnsi="Calibri"/>
                <w:sz w:val="22"/>
              </w:rPr>
              <w:t>$0.575 (Q2 cons.) vs. $0.49 (Q2 2025) = +17.3% YoY</w:t>
            </w:r>
          </w:p>
        </w:tc>
        <w:tc>
          <w:tcPr>
            <w:tcW w:type="dxa" w:w="1728"/>
          </w:tcPr>
          <w:p>
            <w:r>
              <w:rPr>
                <w:rFonts w:ascii="Calibri" w:hAnsi="Calibri"/>
                <w:sz w:val="22"/>
              </w:rPr>
              <w:t>Consensus above “high single-digit” guide; Street may be pricing in a beat on the phasing</w:t>
            </w:r>
          </w:p>
        </w:tc>
      </w:tr>
      <w:tr>
        <w:tc>
          <w:tcPr>
            <w:tcW w:type="dxa" w:w="1728"/>
          </w:tcPr>
          <w:p>
            <w:r>
              <w:rPr>
                <w:rFonts w:ascii="Calibri" w:hAnsi="Calibri"/>
                <w:sz w:val="22"/>
              </w:rPr>
              <w:t>FY2026 Free Cash Flow</w:t>
            </w:r>
          </w:p>
        </w:tc>
        <w:tc>
          <w:tcPr>
            <w:tcW w:type="dxa" w:w="1728"/>
          </w:tcPr>
          <w:p>
            <w:r>
              <w:rPr>
                <w:rFonts w:ascii="Calibri" w:hAnsi="Calibri"/>
                <w:sz w:val="22"/>
              </w:rPr>
              <w:t>~$2.5B aggregate (incl. JDE Peet’s 3-quarter contribution); legacy KDP ~$2.0B</w:t>
            </w:r>
          </w:p>
        </w:tc>
        <w:tc>
          <w:tcPr>
            <w:tcW w:type="dxa" w:w="1728"/>
          </w:tcPr>
          <w:p>
            <w:r>
              <w:rPr>
                <w:rFonts w:ascii="Calibri" w:hAnsi="Calibri"/>
                <w:sz w:val="22"/>
              </w:rPr>
              <w:t>Unchanged</w:t>
            </w:r>
          </w:p>
        </w:tc>
        <w:tc>
          <w:tcPr>
            <w:tcW w:type="dxa" w:w="1728"/>
          </w:tcPr>
          <w:p>
            <w:r>
              <w:rPr>
                <w:rFonts w:ascii="Calibri" w:hAnsi="Calibri"/>
                <w:sz w:val="22"/>
              </w:rPr>
              <w:t>N/A — not tracked in VA consensus</w:t>
            </w:r>
          </w:p>
        </w:tc>
        <w:tc>
          <w:tcPr>
            <w:tcW w:type="dxa" w:w="1728"/>
          </w:tcPr>
          <w:p>
            <w:r>
              <w:rPr>
                <w:rFonts w:ascii="Calibri" w:hAnsi="Calibri"/>
                <w:sz w:val="22"/>
              </w:rPr>
              <w:t>Reaffirmed Jun 3; $11B combined FCF target for Bev Co. + Coffee Co. 2026–2028 reiterated</w:t>
            </w:r>
          </w:p>
        </w:tc>
      </w:tr>
      <w:tr>
        <w:tc>
          <w:tcPr>
            <w:tcW w:type="dxa" w:w="1728"/>
          </w:tcPr>
          <w:p>
            <w:r>
              <w:rPr>
                <w:rFonts w:ascii="Calibri" w:hAnsi="Calibri"/>
                <w:sz w:val="22"/>
              </w:rPr>
              <w:t>Year-End 2026 Net Leverage</w:t>
            </w:r>
          </w:p>
        </w:tc>
        <w:tc>
          <w:tcPr>
            <w:tcW w:type="dxa" w:w="1728"/>
          </w:tcPr>
          <w:p>
            <w:r>
              <w:rPr>
                <w:rFonts w:ascii="Calibri" w:hAnsi="Calibri"/>
                <w:sz w:val="22"/>
              </w:rPr>
              <w:t>~4.5x at midyear; targeting ~4.1x by year-end 2026</w:t>
            </w:r>
          </w:p>
        </w:tc>
        <w:tc>
          <w:tcPr>
            <w:tcW w:type="dxa" w:w="1728"/>
          </w:tcPr>
          <w:p>
            <w:r>
              <w:rPr>
                <w:rFonts w:ascii="Calibri" w:hAnsi="Calibri"/>
                <w:sz w:val="22"/>
              </w:rPr>
              <w:t>Unchanged</w:t>
            </w:r>
          </w:p>
        </w:tc>
        <w:tc>
          <w:tcPr>
            <w:tcW w:type="dxa" w:w="1728"/>
          </w:tcPr>
          <w:p>
            <w:r>
              <w:rPr>
                <w:rFonts w:ascii="Calibri" w:hAnsi="Calibri"/>
                <w:sz w:val="22"/>
              </w:rPr>
              <w:t>N/A — not in VA consensus</w:t>
            </w:r>
          </w:p>
        </w:tc>
        <w:tc>
          <w:tcPr>
            <w:tcW w:type="dxa" w:w="1728"/>
          </w:tcPr>
          <w:p>
            <w:r>
              <w:rPr>
                <w:rFonts w:ascii="Calibri" w:hAnsi="Calibri"/>
                <w:sz w:val="22"/>
              </w:rPr>
              <w:t>Reaffirmed Jun 3; deleveraging pace is a key investor focus heading into Q2</w:t>
            </w:r>
          </w:p>
        </w:tc>
      </w:tr>
      <w:tr>
        <w:tc>
          <w:tcPr>
            <w:tcW w:type="dxa" w:w="1728"/>
          </w:tcPr>
          <w:p>
            <w:r>
              <w:rPr>
                <w:rFonts w:ascii="Calibri" w:hAnsi="Calibri"/>
                <w:sz w:val="22"/>
              </w:rPr>
              <w:t>U.S. Coffee Segment</w:t>
            </w:r>
          </w:p>
        </w:tc>
        <w:tc>
          <w:tcPr>
            <w:tcW w:type="dxa" w:w="1728"/>
          </w:tcPr>
          <w:p>
            <w:r>
              <w:rPr>
                <w:rFonts w:ascii="Calibri" w:hAnsi="Calibri"/>
                <w:sz w:val="22"/>
              </w:rPr>
              <w:t>Modest full-year YoY profit decline; Q1 was the trough; Q2 eases slightly; H2 meaningful improvement</w:t>
            </w:r>
          </w:p>
        </w:tc>
        <w:tc>
          <w:tcPr>
            <w:tcW w:type="dxa" w:w="1728"/>
          </w:tcPr>
          <w:p>
            <w:r>
              <w:rPr>
                <w:rFonts w:ascii="Calibri" w:hAnsi="Calibri"/>
                <w:sz w:val="22"/>
              </w:rPr>
              <w:t>Unchanged</w:t>
            </w:r>
          </w:p>
        </w:tc>
        <w:tc>
          <w:tcPr>
            <w:tcW w:type="dxa" w:w="1728"/>
          </w:tcPr>
          <w:p>
            <w:r>
              <w:rPr>
                <w:rFonts w:ascii="Calibri" w:hAnsi="Calibri"/>
                <w:sz w:val="22"/>
              </w:rPr>
              <w:t>$254M Q2 OI cons. vs. $199M Q1 actual (+28% QoQ)</w:t>
            </w:r>
          </w:p>
        </w:tc>
        <w:tc>
          <w:tcPr>
            <w:tcW w:type="dxa" w:w="1728"/>
          </w:tcPr>
          <w:p>
            <w:r>
              <w:rPr>
                <w:rFonts w:ascii="Calibri" w:hAnsi="Calibri"/>
                <w:sz w:val="22"/>
              </w:rPr>
              <w:t>Phasing narrative intact; Q2 print will validate or challenge the recovery trajectory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FY2026 have been essentially flat since the Q1 print, with only marginal downward drift on EPS (−0.2% on Q2, −0.3% on FY2026) — the Street has accepted management’s phasing narrative without adding meaningful cushion or risk. The gap between consensus Q2 EPS (+17.3% YoY) and management’s “high single-digit” guide implies the Street is already pricing in a modest beat on the phasing.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(c. Apr 30,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23)</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$0.574</w:t>
            </w:r>
          </w:p>
        </w:tc>
        <w:tc>
          <w:tcPr>
            <w:tcW w:type="dxa" w:w="1080"/>
          </w:tcPr>
          <w:p>
            <w:r>
              <w:rPr>
                <w:rFonts w:ascii="Calibri" w:hAnsi="Calibri"/>
                <w:sz w:val="22"/>
              </w:rPr>
              <w:t>$0.575</w:t>
            </w:r>
          </w:p>
        </w:tc>
        <w:tc>
          <w:tcPr>
            <w:tcW w:type="dxa" w:w="1080"/>
          </w:tcPr>
          <w:p>
            <w:r>
              <w:rPr>
                <w:rFonts w:ascii="Calibri" w:hAnsi="Calibri"/>
                <w:sz w:val="22"/>
              </w:rPr>
              <w:t>+0.2%</w:t>
            </w:r>
          </w:p>
        </w:tc>
        <w:tc>
          <w:tcPr>
            <w:tcW w:type="dxa" w:w="1080"/>
          </w:tcPr>
          <w:p>
            <w:r>
              <w:rPr>
                <w:rFonts w:ascii="Calibri" w:hAnsi="Calibri"/>
                <w:sz w:val="22"/>
              </w:rPr>
              <w:t>“High single-digit EPS growth” in Q2 (implies ~$0.53–$0.54 on $0.49 base)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~+6–8% above implied guide midpoint; Street pricing in a beat</w:t>
            </w:r>
          </w:p>
        </w:tc>
      </w:tr>
      <w:tr>
        <w:tc>
          <w:tcPr>
            <w:tcW w:type="dxa" w:w="1080"/>
          </w:tcPr>
          <w:p>
            <w:r>
              <w:rPr>
                <w:rFonts w:ascii="Calibri" w:hAnsi="Calibri"/>
                <w:sz w:val="22"/>
              </w:rPr>
              <w:t>Adj. EPS — FY2026</w:t>
            </w:r>
          </w:p>
        </w:tc>
        <w:tc>
          <w:tcPr>
            <w:tcW w:type="dxa" w:w="1080"/>
          </w:tcPr>
          <w:p>
            <w:r>
              <w:rPr>
                <w:rFonts w:ascii="Calibri" w:hAnsi="Calibri"/>
                <w:sz w:val="22"/>
              </w:rPr>
              <w:t>$2.432</w:t>
            </w:r>
          </w:p>
        </w:tc>
        <w:tc>
          <w:tcPr>
            <w:tcW w:type="dxa" w:w="1080"/>
          </w:tcPr>
          <w:p>
            <w:r>
              <w:rPr>
                <w:rFonts w:ascii="Calibri" w:hAnsi="Calibri"/>
                <w:sz w:val="22"/>
              </w:rPr>
              <w:t>$2.439</w:t>
            </w:r>
          </w:p>
        </w:tc>
        <w:tc>
          <w:tcPr>
            <w:tcW w:type="dxa" w:w="1080"/>
          </w:tcPr>
          <w:p>
            <w:r>
              <w:rPr>
                <w:rFonts w:ascii="Calibri" w:hAnsi="Calibri"/>
                <w:sz w:val="22"/>
              </w:rPr>
              <w:t>+0.3%</w:t>
            </w:r>
          </w:p>
        </w:tc>
        <w:tc>
          <w:tcPr>
            <w:tcW w:type="dxa" w:w="1080"/>
          </w:tcPr>
          <w:p>
            <w:r>
              <w:rPr>
                <w:rFonts w:ascii="Calibri" w:hAnsi="Calibri"/>
                <w:sz w:val="22"/>
              </w:rPr>
              <w:t>Low double-digit CC EPS growth</w:t>
            </w:r>
          </w:p>
        </w:tc>
        <w:tc>
          <w:tcPr>
            <w:tcW w:type="dxa" w:w="1080"/>
          </w:tcPr>
          <w:p>
            <w:r>
              <w:rPr>
                <w:rFonts w:ascii="Calibri" w:hAnsi="Calibri"/>
                <w:sz w:val="22"/>
              </w:rPr>
              <w:t>Unchanged (reaffirmed Jun 3 &amp; Jun 23)</w:t>
            </w:r>
          </w:p>
        </w:tc>
        <w:tc>
          <w:tcPr>
            <w:tcW w:type="dxa" w:w="1080"/>
          </w:tcPr>
          <w:p>
            <w:r>
              <w:rPr>
                <w:rFonts w:ascii="Calibri" w:hAnsi="Calibri"/>
                <w:sz w:val="22"/>
              </w:rPr>
              <w:t>Unchanged</w:t>
            </w:r>
          </w:p>
        </w:tc>
        <w:tc>
          <w:tcPr>
            <w:tcW w:type="dxa" w:w="1080"/>
          </w:tcPr>
          <w:p>
            <w:r>
              <w:rPr>
                <w:rFonts w:ascii="Calibri" w:hAnsi="Calibri"/>
                <w:sz w:val="22"/>
              </w:rPr>
              <w:t>At low end of “low double-digit”; modest upside if Coffee recovers faster</w:t>
            </w:r>
          </w:p>
        </w:tc>
      </w:tr>
      <w:tr>
        <w:tc>
          <w:tcPr>
            <w:tcW w:type="dxa" w:w="1080"/>
          </w:tcPr>
          <w:p>
            <w:r>
              <w:rPr>
                <w:rFonts w:ascii="Calibri" w:hAnsi="Calibri"/>
                <w:sz w:val="22"/>
              </w:rPr>
              <w:t>Total Revenue — Q2 2026</w:t>
            </w:r>
          </w:p>
        </w:tc>
        <w:tc>
          <w:tcPr>
            <w:tcW w:type="dxa" w:w="1080"/>
          </w:tcPr>
          <w:p>
            <w:r>
              <w:rPr>
                <w:rFonts w:ascii="Calibri" w:hAnsi="Calibri"/>
                <w:sz w:val="22"/>
              </w:rPr>
              <w:t>$7.268B</w:t>
            </w:r>
          </w:p>
        </w:tc>
        <w:tc>
          <w:tcPr>
            <w:tcW w:type="dxa" w:w="1080"/>
          </w:tcPr>
          <w:p>
            <w:r>
              <w:rPr>
                <w:rFonts w:ascii="Calibri" w:hAnsi="Calibri"/>
                <w:sz w:val="22"/>
              </w:rPr>
              <w:t>$7.245B</w:t>
            </w:r>
          </w:p>
        </w:tc>
        <w:tc>
          <w:tcPr>
            <w:tcW w:type="dxa" w:w="1080"/>
          </w:tcPr>
          <w:p>
            <w:r>
              <w:rPr>
                <w:rFonts w:ascii="Calibri" w:hAnsi="Calibri"/>
                <w:sz w:val="22"/>
              </w:rPr>
              <w:t>-0.3%</w:t>
            </w:r>
          </w:p>
        </w:tc>
        <w:tc>
          <w:tcPr>
            <w:tcW w:type="dxa" w:w="1080"/>
          </w:tcPr>
          <w:p>
            <w:r>
              <w:rPr>
                <w:rFonts w:ascii="Calibri" w:hAnsi="Calibri"/>
                <w:sz w:val="22"/>
              </w:rPr>
              <w:t>$25.9B–$26.4B FY2026 (Q2 not separately guided)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Q2 cons. implies ~$26.3B annualized; within FY range</w:t>
            </w:r>
          </w:p>
        </w:tc>
      </w:tr>
      <w:tr>
        <w:tc>
          <w:tcPr>
            <w:tcW w:type="dxa" w:w="1080"/>
          </w:tcPr>
          <w:p>
            <w:r>
              <w:rPr>
                <w:rFonts w:ascii="Calibri" w:hAnsi="Calibri"/>
                <w:sz w:val="22"/>
              </w:rPr>
              <w:t>Total Revenue — FY2026</w:t>
            </w:r>
          </w:p>
        </w:tc>
        <w:tc>
          <w:tcPr>
            <w:tcW w:type="dxa" w:w="1080"/>
          </w:tcPr>
          <w:p>
            <w:r>
              <w:rPr>
                <w:rFonts w:ascii="Calibri" w:hAnsi="Calibri"/>
                <w:sz w:val="22"/>
              </w:rPr>
              <w:t>$26.270B</w:t>
            </w:r>
          </w:p>
        </w:tc>
        <w:tc>
          <w:tcPr>
            <w:tcW w:type="dxa" w:w="1080"/>
          </w:tcPr>
          <w:p>
            <w:r>
              <w:rPr>
                <w:rFonts w:ascii="Calibri" w:hAnsi="Calibri"/>
                <w:sz w:val="22"/>
              </w:rPr>
              <w:t>$26.264B</w:t>
            </w:r>
          </w:p>
        </w:tc>
        <w:tc>
          <w:tcPr>
            <w:tcW w:type="dxa" w:w="1080"/>
          </w:tcPr>
          <w:p>
            <w:r>
              <w:rPr>
                <w:rFonts w:ascii="Calibri" w:hAnsi="Calibri"/>
                <w:sz w:val="22"/>
              </w:rPr>
              <w:t>-0.02%</w:t>
            </w:r>
          </w:p>
        </w:tc>
        <w:tc>
          <w:tcPr>
            <w:tcW w:type="dxa" w:w="1080"/>
          </w:tcPr>
          <w:p>
            <w:r>
              <w:rPr>
                <w:rFonts w:ascii="Calibri" w:hAnsi="Calibri"/>
                <w:sz w:val="22"/>
              </w:rPr>
              <w:t>$25.9B–$26.4B</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Midpoint of range = $26.15B; cons. $26.26B is +0.4% above midpoint</w:t>
            </w:r>
          </w:p>
        </w:tc>
      </w:tr>
      <w:tr>
        <w:tc>
          <w:tcPr>
            <w:tcW w:type="dxa" w:w="1080"/>
          </w:tcPr>
          <w:p>
            <w:r>
              <w:rPr>
                <w:rFonts w:ascii="Calibri" w:hAnsi="Calibri"/>
                <w:sz w:val="22"/>
              </w:rPr>
              <w:t>U.S. Coffee OI — Q2 2026</w:t>
            </w:r>
          </w:p>
        </w:tc>
        <w:tc>
          <w:tcPr>
            <w:tcW w:type="dxa" w:w="1080"/>
          </w:tcPr>
          <w:p>
            <w:r>
              <w:rPr>
                <w:rFonts w:ascii="Calibri" w:hAnsi="Calibri"/>
                <w:sz w:val="22"/>
              </w:rPr>
              <w:t>$254M</w:t>
            </w:r>
          </w:p>
        </w:tc>
        <w:tc>
          <w:tcPr>
            <w:tcW w:type="dxa" w:w="1080"/>
          </w:tcPr>
          <w:p>
            <w:r>
              <w:rPr>
                <w:rFonts w:ascii="Calibri" w:hAnsi="Calibri"/>
                <w:sz w:val="22"/>
              </w:rPr>
              <w:t>$254M</w:t>
            </w:r>
          </w:p>
        </w:tc>
        <w:tc>
          <w:tcPr>
            <w:tcW w:type="dxa" w:w="1080"/>
          </w:tcPr>
          <w:p>
            <w:r>
              <w:rPr>
                <w:rFonts w:ascii="Calibri" w:hAnsi="Calibri"/>
                <w:sz w:val="22"/>
              </w:rPr>
              <w:t>Flat</w:t>
            </w:r>
          </w:p>
        </w:tc>
        <w:tc>
          <w:tcPr>
            <w:tcW w:type="dxa" w:w="1080"/>
          </w:tcPr>
          <w:p>
            <w:r>
              <w:rPr>
                <w:rFonts w:ascii="Calibri" w:hAnsi="Calibri"/>
                <w:sz w:val="22"/>
              </w:rPr>
              <w:t>Q1 was trough; Q2 eases slightly; H2 meaningful improvement</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+28% QoQ from Q1’s $199M; -15% YoY vs. Q2 2025’s $299M; in line with phasing</w:t>
            </w:r>
          </w:p>
        </w:tc>
      </w:tr>
    </w:tbl>
    <w:p>
      <w:r>
        <w:rPr>
          <w:rFonts w:ascii="Calibri" w:hAnsi="Calibri"/>
          <w:color w:val="525866"/>
          <w:sz w:val="22"/>
        </w:rPr>
        <w:t>Estimates have been remarkably stable since the Q1 print, with revisions of less than 0.5% in either direction across all key KPIs — a sign the Street has high conviction in management’s phasing narrative. The primary risk is that Q2 Coffee OI comes in below the $254M consensus if green coffee cost relief is slower than guided, which would call into question the H2 acceleration story and likely pressure the FY2026 EPS guide.</w:t>
      </w:r>
    </w:p>
    <w:p>
      <w:r>
        <w:rPr>
          <w:rFonts w:ascii="Calibri" w:hAnsi="Calibri"/>
          <w:i/>
          <w:color w:val="525866"/>
          <w:sz w:val="22"/>
        </w:rPr>
        <w:t>Source: Visible Alpha Consensus and Actuals Data. Post-Q1 baseline uses as-of-date May 1, 2026 (approximately 5 trading days post-print).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KDP has outperformed XLP (+7.8% vs. +2.2%) since the Q1 print but lagged the S&amp;P 500 (+8.7%), with the re-rating driven by multiple recovery from the JDE Peet’s acquisition discount rather than estimate upgrades. The stock remains at a significant discount to historical norms (NTM P/E ~12.8x vs. ~15.6x a year ago), suggesting the market is still pricing in execution risk on the separation.</w:t>
      </w:r>
    </w:p>
    <w:p>
      <w:r>
        <w:rPr>
          <w:rFonts w:ascii="Calibri" w:hAnsi="Calibri"/>
          <w:i/>
          <w:color w:val="525866"/>
          <w:sz w:val="22"/>
        </w:rPr>
        <w:t>Chart: KDP vs. XLP (Consumer Staples Select Sector SPDR ETF) vs. S&amp;P 500 (SPY) — Indexed to 100 at April 23, 2026 (Q1 2026 earnings date). XLP was selected as the sector benchmark given KDP’s classification as a Consumer Staples company.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KDP (Indexed)</w:t>
            </w:r>
          </w:p>
        </w:tc>
        <w:tc>
          <w:tcPr>
            <w:tcW w:type="dxa" w:w="1728"/>
            <w:shd w:val="clear" w:color="auto" w:fill="3B4259"/>
          </w:tcPr>
          <w:p>
            <w:r>
              <w:rPr>
                <w:rFonts w:ascii="Calibri" w:hAnsi="Calibri"/>
                <w:b/>
                <w:color w:val="FFFFFF"/>
                <w:sz w:val="22"/>
              </w:rPr>
              <w:t>XLP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Event</w:t>
            </w:r>
          </w:p>
        </w:tc>
      </w:tr>
      <w:tr>
        <w:tc>
          <w:tcPr>
            <w:tcW w:type="dxa" w:w="1728"/>
          </w:tcPr>
          <w:p>
            <w:r>
              <w:rPr>
                <w:rFonts w:ascii="Calibri" w:hAnsi="Calibri"/>
                <w:sz w:val="22"/>
              </w:rPr>
              <w:t>Apr 23, 2026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(base)</w:t>
            </w:r>
          </w:p>
        </w:tc>
      </w:tr>
      <w:tr>
        <w:tc>
          <w:tcPr>
            <w:tcW w:type="dxa" w:w="1728"/>
          </w:tcPr>
          <w:p>
            <w:r>
              <w:rPr>
                <w:rFonts w:ascii="Calibri" w:hAnsi="Calibri"/>
                <w:sz w:val="22"/>
              </w:rPr>
              <w:t>May 22, 2026</w:t>
            </w:r>
          </w:p>
        </w:tc>
        <w:tc>
          <w:tcPr>
            <w:tcW w:type="dxa" w:w="1728"/>
          </w:tcPr>
          <w:p>
            <w:r>
              <w:rPr>
                <w:rFonts w:ascii="Calibri" w:hAnsi="Calibri"/>
                <w:sz w:val="22"/>
              </w:rPr>
              <w:t>102.1</w:t>
            </w:r>
          </w:p>
        </w:tc>
        <w:tc>
          <w:tcPr>
            <w:tcW w:type="dxa" w:w="1728"/>
          </w:tcPr>
          <w:p>
            <w:r>
              <w:rPr>
                <w:rFonts w:ascii="Calibri" w:hAnsi="Calibri"/>
                <w:sz w:val="22"/>
              </w:rPr>
              <w:t>101.6</w:t>
            </w:r>
          </w:p>
        </w:tc>
        <w:tc>
          <w:tcPr>
            <w:tcW w:type="dxa" w:w="1728"/>
          </w:tcPr>
          <w:p>
            <w:r>
              <w:rPr>
                <w:rFonts w:ascii="Calibri" w:hAnsi="Calibri"/>
                <w:sz w:val="22"/>
              </w:rPr>
              <w:t>105.2</w:t>
            </w:r>
          </w:p>
        </w:tc>
        <w:tc>
          <w:tcPr>
            <w:tcW w:type="dxa" w:w="1728"/>
          </w:tcPr>
          <w:p>
            <w:r>
              <w:rPr>
                <w:rFonts w:ascii="Calibri" w:hAnsi="Calibri"/>
                <w:sz w:val="22"/>
              </w:rPr>
              <w:t>8-K: JDE Peet’s cross-guarantee structure filed</w:t>
            </w:r>
          </w:p>
        </w:tc>
      </w:tr>
      <w:tr>
        <w:tc>
          <w:tcPr>
            <w:tcW w:type="dxa" w:w="1728"/>
          </w:tcPr>
          <w:p>
            <w:r>
              <w:rPr>
                <w:rFonts w:ascii="Calibri" w:hAnsi="Calibri"/>
                <w:sz w:val="22"/>
              </w:rPr>
              <w:t>Jun 3, 2026</w:t>
            </w:r>
          </w:p>
        </w:tc>
        <w:tc>
          <w:tcPr>
            <w:tcW w:type="dxa" w:w="1728"/>
          </w:tcPr>
          <w:p>
            <w:r>
              <w:rPr>
                <w:rFonts w:ascii="Calibri" w:hAnsi="Calibri"/>
                <w:sz w:val="22"/>
              </w:rPr>
              <w:t>107.1</w:t>
            </w:r>
          </w:p>
        </w:tc>
        <w:tc>
          <w:tcPr>
            <w:tcW w:type="dxa" w:w="1728"/>
          </w:tcPr>
          <w:p>
            <w:r>
              <w:rPr>
                <w:rFonts w:ascii="Calibri" w:hAnsi="Calibri"/>
                <w:sz w:val="22"/>
              </w:rPr>
              <w:t>98.4</w:t>
            </w:r>
          </w:p>
        </w:tc>
        <w:tc>
          <w:tcPr>
            <w:tcW w:type="dxa" w:w="1728"/>
          </w:tcPr>
          <w:p>
            <w:r>
              <w:rPr>
                <w:rFonts w:ascii="Calibri" w:hAnsi="Calibri"/>
                <w:sz w:val="22"/>
              </w:rPr>
              <w:t>106.4</w:t>
            </w:r>
          </w:p>
        </w:tc>
        <w:tc>
          <w:tcPr>
            <w:tcW w:type="dxa" w:w="1728"/>
          </w:tcPr>
          <w:p>
            <w:r>
              <w:rPr>
                <w:rFonts w:ascii="Calibri" w:hAnsi="Calibri"/>
                <w:sz w:val="22"/>
              </w:rPr>
              <w:t>Deutsche Bank Consumer Conference; guidance reaffirmed</w:t>
            </w:r>
          </w:p>
        </w:tc>
      </w:tr>
      <w:tr>
        <w:tc>
          <w:tcPr>
            <w:tcW w:type="dxa" w:w="1728"/>
          </w:tcPr>
          <w:p>
            <w:r>
              <w:rPr>
                <w:rFonts w:ascii="Calibri" w:hAnsi="Calibri"/>
                <w:sz w:val="22"/>
              </w:rPr>
              <w:t>Jun 23, 2026</w:t>
            </w:r>
          </w:p>
        </w:tc>
        <w:tc>
          <w:tcPr>
            <w:tcW w:type="dxa" w:w="1728"/>
          </w:tcPr>
          <w:p>
            <w:r>
              <w:rPr>
                <w:rFonts w:ascii="Calibri" w:hAnsi="Calibri"/>
                <w:sz w:val="22"/>
              </w:rPr>
              <w:t>108.2</w:t>
            </w:r>
          </w:p>
        </w:tc>
        <w:tc>
          <w:tcPr>
            <w:tcW w:type="dxa" w:w="1728"/>
          </w:tcPr>
          <w:p>
            <w:r>
              <w:rPr>
                <w:rFonts w:ascii="Calibri" w:hAnsi="Calibri"/>
                <w:sz w:val="22"/>
              </w:rPr>
              <w:t>100.3</w:t>
            </w:r>
          </w:p>
        </w:tc>
        <w:tc>
          <w:tcPr>
            <w:tcW w:type="dxa" w:w="1728"/>
          </w:tcPr>
          <w:p>
            <w:r>
              <w:rPr>
                <w:rFonts w:ascii="Calibri" w:hAnsi="Calibri"/>
                <w:sz w:val="22"/>
              </w:rPr>
              <w:t>103.5</w:t>
            </w:r>
          </w:p>
        </w:tc>
        <w:tc>
          <w:tcPr>
            <w:tcW w:type="dxa" w:w="1728"/>
          </w:tcPr>
          <w:p>
            <w:r>
              <w:rPr>
                <w:rFonts w:ascii="Calibri" w:hAnsi="Calibri"/>
                <w:sz w:val="22"/>
              </w:rPr>
              <w:t>8-K: Rafa Oliveira departure announced; guidance reaffirmed</w:t>
            </w:r>
          </w:p>
        </w:tc>
      </w:tr>
      <w:tr>
        <w:tc>
          <w:tcPr>
            <w:tcW w:type="dxa" w:w="1728"/>
          </w:tcPr>
          <w:p>
            <w:r>
              <w:rPr>
                <w:rFonts w:ascii="Calibri" w:hAnsi="Calibri"/>
                <w:sz w:val="22"/>
              </w:rPr>
              <w:t>Jun 25, 2026</w:t>
            </w:r>
          </w:p>
        </w:tc>
        <w:tc>
          <w:tcPr>
            <w:tcW w:type="dxa" w:w="1728"/>
          </w:tcPr>
          <w:p>
            <w:r>
              <w:rPr>
                <w:rFonts w:ascii="Calibri" w:hAnsi="Calibri"/>
                <w:sz w:val="22"/>
              </w:rPr>
              <w:t>114.0</w:t>
            </w:r>
          </w:p>
        </w:tc>
        <w:tc>
          <w:tcPr>
            <w:tcW w:type="dxa" w:w="1728"/>
          </w:tcPr>
          <w:p>
            <w:r>
              <w:rPr>
                <w:rFonts w:ascii="Calibri" w:hAnsi="Calibri"/>
                <w:sz w:val="22"/>
              </w:rPr>
              <w:t>100.6</w:t>
            </w:r>
          </w:p>
        </w:tc>
        <w:tc>
          <w:tcPr>
            <w:tcW w:type="dxa" w:w="1728"/>
          </w:tcPr>
          <w:p>
            <w:r>
              <w:rPr>
                <w:rFonts w:ascii="Calibri" w:hAnsi="Calibri"/>
                <w:sz w:val="22"/>
              </w:rPr>
              <w:t>103.6</w:t>
            </w:r>
          </w:p>
        </w:tc>
        <w:tc>
          <w:tcPr>
            <w:tcW w:type="dxa" w:w="1728"/>
          </w:tcPr>
          <w:p>
            <w:r>
              <w:rPr>
                <w:rFonts w:ascii="Calibri" w:hAnsi="Calibri"/>
                <w:sz w:val="22"/>
              </w:rPr>
              <w:t>8-K: Angela Stephens retirement announced</w:t>
            </w:r>
          </w:p>
        </w:tc>
      </w:tr>
      <w:tr>
        <w:tc>
          <w:tcPr>
            <w:tcW w:type="dxa" w:w="1728"/>
          </w:tcPr>
          <w:p>
            <w:r>
              <w:rPr>
                <w:rFonts w:ascii="Calibri" w:hAnsi="Calibri"/>
                <w:sz w:val="22"/>
              </w:rPr>
              <w:t>Jun 30, 2026</w:t>
            </w:r>
          </w:p>
        </w:tc>
        <w:tc>
          <w:tcPr>
            <w:tcW w:type="dxa" w:w="1728"/>
          </w:tcPr>
          <w:p>
            <w:r>
              <w:rPr>
                <w:rFonts w:ascii="Calibri" w:hAnsi="Calibri"/>
                <w:sz w:val="22"/>
              </w:rPr>
              <w:t>114.7</w:t>
            </w:r>
          </w:p>
        </w:tc>
        <w:tc>
          <w:tcPr>
            <w:tcW w:type="dxa" w:w="1728"/>
          </w:tcPr>
          <w:p>
            <w:r>
              <w:rPr>
                <w:rFonts w:ascii="Calibri" w:hAnsi="Calibri"/>
                <w:sz w:val="22"/>
              </w:rPr>
              <w:t>99.5</w:t>
            </w:r>
          </w:p>
        </w:tc>
        <w:tc>
          <w:tcPr>
            <w:tcW w:type="dxa" w:w="1728"/>
          </w:tcPr>
          <w:p>
            <w:r>
              <w:rPr>
                <w:rFonts w:ascii="Calibri" w:hAnsi="Calibri"/>
                <w:sz w:val="22"/>
              </w:rPr>
              <w:t>105.4</w:t>
            </w:r>
          </w:p>
        </w:tc>
        <w:tc>
          <w:tcPr>
            <w:tcW w:type="dxa" w:w="1728"/>
          </w:tcPr>
          <w:p>
            <w:r>
              <w:rPr>
                <w:rFonts w:ascii="Calibri" w:hAnsi="Calibri"/>
                <w:sz w:val="22"/>
              </w:rPr>
              <w:t>Quarter-end</w:t>
            </w:r>
          </w:p>
        </w:tc>
      </w:tr>
      <w:tr>
        <w:tc>
          <w:tcPr>
            <w:tcW w:type="dxa" w:w="1728"/>
          </w:tcPr>
          <w:p>
            <w:r>
              <w:rPr>
                <w:rFonts w:ascii="Calibri" w:hAnsi="Calibri"/>
                <w:sz w:val="22"/>
              </w:rPr>
              <w:t>Aug 5, 2026</w:t>
            </w:r>
          </w:p>
        </w:tc>
        <w:tc>
          <w:tcPr>
            <w:tcW w:type="dxa" w:w="1728"/>
          </w:tcPr>
          <w:p>
            <w:r>
              <w:rPr>
                <w:rFonts w:ascii="Calibri" w:hAnsi="Calibri"/>
                <w:sz w:val="22"/>
              </w:rPr>
              <w:t>107.8</w:t>
            </w:r>
          </w:p>
        </w:tc>
        <w:tc>
          <w:tcPr>
            <w:tcW w:type="dxa" w:w="1728"/>
          </w:tcPr>
          <w:p>
            <w:r>
              <w:rPr>
                <w:rFonts w:ascii="Calibri" w:hAnsi="Calibri"/>
                <w:sz w:val="22"/>
              </w:rPr>
              <w:t>102.2</w:t>
            </w:r>
          </w:p>
        </w:tc>
        <w:tc>
          <w:tcPr>
            <w:tcW w:type="dxa" w:w="1728"/>
          </w:tcPr>
          <w:p>
            <w:r>
              <w:rPr>
                <w:rFonts w:ascii="Calibri" w:hAnsi="Calibri"/>
                <w:sz w:val="22"/>
              </w:rPr>
              <w:t>108.7</w:t>
            </w:r>
          </w:p>
        </w:tc>
        <w:tc>
          <w:tcPr>
            <w:tcW w:type="dxa" w:w="1728"/>
          </w:tcPr>
          <w:p>
            <w:r>
              <w:rPr>
                <w:rFonts w:ascii="Calibri" w:hAnsi="Calibri"/>
                <w:sz w:val="22"/>
              </w:rPr>
              <w:t>Current (pre-Q2 earnings)</w:t>
            </w:r>
          </w:p>
        </w:tc>
      </w:tr>
    </w:tbl>
    <w:p>
      <w:r>
        <w:rPr>
          <w:rFonts w:ascii="Calibri" w:hAnsi="Calibri"/>
          <w:color w:val="525866"/>
          <w:sz w:val="22"/>
        </w:rPr>
        <w:t>KDP peaked at ~+17% above the Q1 earnings base in late June (around the time of the Oliveira departure / guidance reaffirmation 8-K), then pulled back ~8% from that peak through early August as the broader market rotated. The stock’s outperformance vs. XLP reflects idiosyncratic re-rating as investors gained comfort with the JDE Peet’s integration and separation timeline, while the underperformance vs. SPY reflects the defensive nature of the stock and the still-elevated leverage discount. NTM EV/EBITDA has compressed from ~10.2x six months ago to ~8.2x today, consistent with the acquisition-related leverage overhang.</w:t>
      </w:r>
    </w:p>
    <w:p>
      <w:r>
        <w:rPr>
          <w:rFonts w:ascii="Calibri" w:hAnsi="Calibri"/>
          <w:i/>
          <w:color w:val="525866"/>
          <w:sz w:val="22"/>
        </w:rPr>
        <w:t>Source: Stock Price Data (Yahoo Finance). Indexed to 100 at April 23, 2026 close ($28.53). XLP = Consumer Staples Select Sector SPDR ETF. SPY = SPDR S&amp;P 500 ETF Trust.</w:t>
      </w:r>
    </w:p>
    <w:p>
      <w:r>
        <w:br w:type="page"/>
      </w:r>
    </w:p>
    <w:p>
      <w:pPr>
        <w:pStyle w:val="Heading2"/>
      </w:pPr>
      <w:r>
        <w:rPr>
          <w:rFonts w:ascii="Calibri" w:hAnsi="Calibri"/>
          <w:b/>
          <w:color w:val="3B4259"/>
          <w:sz w:val="28"/>
        </w:rPr>
        <w:t>6. Peer Commentary Read-Throughs (Last 60 Days — Q2 2026 Relevance Only)</w:t>
      </w:r>
    </w:p>
    <w:p>
      <w:r>
        <w:rPr>
          <w:rFonts w:ascii="Calibri" w:hAnsi="Calibri"/>
          <w:b/>
          <w:color w:val="525866"/>
          <w:sz w:val="22"/>
        </w:rPr>
        <w:t xml:space="preserve">Key Takeaway: </w:t>
      </w:r>
      <w:r>
        <w:rPr>
          <w:rFonts w:ascii="Calibri" w:hAnsi="Calibri"/>
          <w:color w:val="525866"/>
          <w:sz w:val="22"/>
        </w:rPr>
        <w:t>Peer commentary from KO (July 28) and PEP (July 8–9) provides a mixed but net-positive read-through for KDP’s Q2 2026 print: North American beverage demand was resilient with pricing power intact, but volume softness at PBNA and input cost headwinds are relevant risks. Coffee-specific commentary is absent from peers, leaving the U.S. Coffee recovery narrative entirely dependent on KDP’s own print.</w:t>
      </w:r>
    </w:p>
    <w:p>
      <w:r>
        <w:rPr>
          <w:rFonts w:ascii="Calibri" w:hAnsi="Calibri"/>
          <w:b/>
          <w:color w:val="525866"/>
          <w:sz w:val="22"/>
        </w:rPr>
        <w:t xml:space="preserve">Note on scope: </w:t>
      </w:r>
      <w:r>
        <w:rPr>
          <w:rFonts w:ascii="Calibri" w:hAnsi="Calibri"/>
          <w:i/>
          <w:color w:val="525866"/>
          <w:sz w:val="22"/>
        </w:rPr>
        <w:t>Only commentary from peers reporting Q2 2026 results (i.e., commentary about the same calendar quarter as KDP’s upcoming Q2 2026 print, or forward-looking commentary made after KDP’s last earnings on April 23, 2026) is included below. Prior-quarter earnings commentary (e.g., KO or PEP Q1 2026 results) is excluded as it does not constitute a current-quarter read-through.</w:t>
      </w:r>
    </w:p>
    <w:p>
      <w:pPr>
        <w:pStyle w:val="Heading3"/>
      </w:pPr>
      <w:r>
        <w:rPr>
          <w:rFonts w:ascii="Calibri" w:hAnsi="Calibri"/>
          <w:b/>
          <w:color w:val="3B4259"/>
          <w:sz w:val="24"/>
        </w:rPr>
        <w:t>6a. Coca-Cola (KO) — Q2 2026 Earnings (Reported July 28, 2026)</w:t>
      </w:r>
    </w:p>
    <w:p>
      <w:r>
        <w:rPr>
          <w:rFonts w:ascii="Calibri" w:hAnsi="Calibri"/>
          <w:b/>
          <w:color w:val="525866"/>
          <w:sz w:val="22"/>
        </w:rPr>
        <w:t xml:space="preserve">Relevance: </w:t>
      </w:r>
      <w:r>
        <w:rPr>
          <w:rFonts w:ascii="Calibri" w:hAnsi="Calibri"/>
          <w:color w:val="525866"/>
          <w:sz w:val="22"/>
        </w:rPr>
        <w:t>KO is KDP’s closest direct peer in North American non-alcoholic beverages (sparkling soft drinks, water, sports). KO’s Q2 2026 results cover the same calendar quarter as KDP’s upcoming print and provide the most direct read-through on U.S. beverage demand, pricing, and consumer behavior.</w:t>
      </w:r>
    </w:p>
    <w:p>
      <w:pPr>
        <w:pStyle w:val="ListBullet"/>
        <w:ind w:left="360" w:hanging="360"/>
      </w:pPr>
      <w:r>
        <w:rPr>
          <w:rFonts w:ascii="Calibri" w:hAnsi="Calibri"/>
          <w:b/>
          <w:color w:val="525866"/>
          <w:sz w:val="22"/>
        </w:rPr>
        <w:t xml:space="preserve">North America volume +3% in Q2 2026 (unit case), driven by Trademark Coca-Cola, juice/dairy, and sports drinks. </w:t>
      </w:r>
      <w:r>
        <w:rPr>
          <w:rFonts w:ascii="Calibri" w:hAnsi="Calibri"/>
          <w:color w:val="525866"/>
          <w:sz w:val="22"/>
        </w:rPr>
        <w:t>Read-through: Positive for KDP’s U.S. Refreshment Beverages segment — broad-based volume growth in the quarter suggests the consumer environment was supportive. KDP’s Dr Pepper (9 consecutive years of share gains) and sports hydration brands should have benefited from similar tailwinds.</w:t>
      </w:r>
    </w:p>
    <w:p>
      <w:pPr>
        <w:pStyle w:val="ListBullet"/>
        <w:ind w:left="360" w:hanging="360"/>
      </w:pPr>
      <w:r>
        <w:rPr>
          <w:rFonts w:ascii="Calibri" w:hAnsi="Calibri"/>
          <w:b/>
          <w:color w:val="525866"/>
          <w:sz w:val="22"/>
        </w:rPr>
        <w:t xml:space="preserve">North America net revenues +7% YoY; price/mix +4% driven by pricing actions. </w:t>
      </w:r>
      <w:r>
        <w:rPr>
          <w:rFonts w:ascii="Calibri" w:hAnsi="Calibri"/>
          <w:color w:val="525866"/>
          <w:sz w:val="22"/>
        </w:rPr>
        <w:t>Read-through: Positive for KDP’s pricing realization. If KO achieved 4% price/mix in North America, KDP’s U.S. Refreshment Beverages segment (which grew 11.9% in Q1) likely sustained strong pricing in Q2, supporting the consensus $2.854B revenue estimate.</w:t>
      </w:r>
    </w:p>
    <w:p>
      <w:pPr>
        <w:pStyle w:val="ListBullet"/>
        <w:ind w:left="360" w:hanging="360"/>
      </w:pPr>
      <w:r>
        <w:rPr>
          <w:rFonts w:ascii="Calibri" w:hAnsi="Calibri"/>
          <w:b/>
          <w:color w:val="525866"/>
          <w:sz w:val="22"/>
        </w:rPr>
        <w:t xml:space="preserve">Consumer backdrop described as “stable in aggregate” in the U.S. and Europe, but lower-income consumers remain pressured; “really about value, not only pricing.” </w:t>
      </w:r>
      <w:r>
        <w:rPr>
          <w:rFonts w:ascii="Calibri" w:hAnsi="Calibri"/>
          <w:color w:val="525866"/>
          <w:sz w:val="22"/>
        </w:rPr>
        <w:t>Read-through: Neutral-to-cautious for KDP. KDP’s portfolio skews toward value-oriented brands (Dr Pepper, Canada Dry), which may have benefited from trade-down, but SNAP benefit restrictions in key states (a KDP-specific headwind flagged in prior quarters) could have offset this.</w:t>
      </w:r>
    </w:p>
    <w:p>
      <w:pPr>
        <w:pStyle w:val="ListBullet"/>
        <w:ind w:left="360" w:hanging="360"/>
      </w:pPr>
      <w:r>
        <w:rPr>
          <w:rFonts w:ascii="Calibri" w:hAnsi="Calibri"/>
          <w:b/>
          <w:color w:val="525866"/>
          <w:sz w:val="22"/>
        </w:rPr>
        <w:t xml:space="preserve">Input costs described as “manageable” for the remainder of the year based on current knowledge. </w:t>
      </w:r>
      <w:r>
        <w:rPr>
          <w:rFonts w:ascii="Calibri" w:hAnsi="Calibri"/>
          <w:color w:val="525866"/>
          <w:sz w:val="22"/>
        </w:rPr>
        <w:t>Read-through: Modestly positive for KDP’s U.S. Refreshment Beverages margins, though KDP’s more acute input cost issue is green coffee (not CSD inputs), which is a KDP-specific dynamic not captured in KO’s commentary.</w:t>
      </w:r>
    </w:p>
    <w:p>
      <w:pPr>
        <w:pStyle w:val="ListBullet"/>
        <w:ind w:left="360" w:hanging="360"/>
      </w:pPr>
      <w:r>
        <w:rPr>
          <w:rFonts w:ascii="Calibri" w:hAnsi="Calibri"/>
          <w:b/>
          <w:color w:val="525866"/>
          <w:sz w:val="22"/>
        </w:rPr>
        <w:t xml:space="preserve">KO raised full-year 2026 organic revenue guidance to ~5% (from 4–5%) and raised EPS growth to 9–10%. </w:t>
      </w:r>
      <w:r>
        <w:rPr>
          <w:rFonts w:ascii="Calibri" w:hAnsi="Calibri"/>
          <w:color w:val="525866"/>
          <w:sz w:val="22"/>
        </w:rPr>
        <w:t>Read-through: Positive sentiment signal for the broader beverage category. A major peer raising guidance heading into KDP’s print reduces the risk of a category-level negative surprise.</w:t>
      </w:r>
    </w:p>
    <w:p>
      <w:pPr>
        <w:pStyle w:val="ListBullet"/>
        <w:ind w:left="360" w:hanging="360"/>
      </w:pPr>
      <w:r>
        <w:rPr>
          <w:rFonts w:ascii="Calibri" w:hAnsi="Calibri"/>
          <w:b/>
          <w:color w:val="525866"/>
          <w:sz w:val="22"/>
        </w:rPr>
        <w:t xml:space="preserve">Limitation: </w:t>
      </w:r>
      <w:r>
        <w:rPr>
          <w:rFonts w:ascii="Calibri" w:hAnsi="Calibri"/>
          <w:color w:val="525866"/>
          <w:sz w:val="22"/>
        </w:rPr>
        <w:t>KO has no meaningful coffee business comparable to KDP’s U.S. Coffee or JDE Peet’s segments. KO’s FIFA World Cup activation drove outsized volume (Trademark Coca-Cola +5%, Powerade +8%) that is not replicable for KDP. Currency tailwinds in KO’s consolidated results are not relevant for KDP’s predominantly domestic revenue base.</w:t>
      </w:r>
    </w:p>
    <w:p>
      <w:pPr>
        <w:pStyle w:val="Heading3"/>
      </w:pPr>
      <w:r>
        <w:rPr>
          <w:rFonts w:ascii="Calibri" w:hAnsi="Calibri"/>
          <w:b/>
          <w:color w:val="3B4259"/>
          <w:sz w:val="24"/>
        </w:rPr>
        <w:t>6b. PepsiCo (PEP) — Q2 2026 Earnings (Reported July 8–9, 2026)</w:t>
      </w:r>
    </w:p>
    <w:p>
      <w:r>
        <w:rPr>
          <w:rFonts w:ascii="Calibri" w:hAnsi="Calibri"/>
          <w:b/>
          <w:color w:val="525866"/>
          <w:sz w:val="22"/>
        </w:rPr>
        <w:t xml:space="preserve">Relevance: </w:t>
      </w:r>
      <w:r>
        <w:rPr>
          <w:rFonts w:ascii="Calibri" w:hAnsi="Calibri"/>
          <w:color w:val="525866"/>
          <w:sz w:val="22"/>
        </w:rPr>
        <w:t>PEP’s PepsiCo Beverages North America (PBNA) segment is a direct competitor to KDP in U.S. non-alcoholic beverages. PEP reported Q2 2026 results on July 8–9, covering the same calendar quarter as KDP’s upcoming print.</w:t>
      </w:r>
    </w:p>
    <w:p>
      <w:pPr>
        <w:pStyle w:val="ListBullet"/>
        <w:ind w:left="360" w:hanging="360"/>
      </w:pPr>
      <w:r>
        <w:rPr>
          <w:rFonts w:ascii="Calibri" w:hAnsi="Calibri"/>
          <w:b/>
          <w:color w:val="525866"/>
          <w:sz w:val="22"/>
        </w:rPr>
        <w:t xml:space="preserve">PBNA organic volume -2% in Q2 2026, despite +1% organic revenue growth (driven by +3% effective net pricing). </w:t>
      </w:r>
      <w:r>
        <w:rPr>
          <w:rFonts w:ascii="Calibri" w:hAnsi="Calibri"/>
          <w:color w:val="525866"/>
          <w:sz w:val="22"/>
        </w:rPr>
        <w:t>Read-through: Mixed for KDP. Volume softness at PBNA could reflect category-level pressure or PEP-specific share loss. Given KDP’s consistent share gains in Dr Pepper and energy, KDP may have been a beneficiary of PBNA’s volume weakness. However, if the volume decline reflects broader consumer trade-down or category softness, it is a caution flag.</w:t>
      </w:r>
    </w:p>
    <w:p>
      <w:pPr>
        <w:pStyle w:val="ListBullet"/>
        <w:ind w:left="360" w:hanging="360"/>
      </w:pPr>
      <w:r>
        <w:rPr>
          <w:rFonts w:ascii="Calibri" w:hAnsi="Calibri"/>
          <w:b/>
          <w:color w:val="525866"/>
          <w:sz w:val="22"/>
        </w:rPr>
        <w:t xml:space="preserve">PBNA reported net revenues +7% YoY, primarily reflecting 2025 acquisition benefits and organic growth. </w:t>
      </w:r>
      <w:r>
        <w:rPr>
          <w:rFonts w:ascii="Calibri" w:hAnsi="Calibri"/>
          <w:color w:val="525866"/>
          <w:sz w:val="22"/>
        </w:rPr>
        <w:t>Read-through: Neutral. The headline revenue growth is inflated by acquisitions and not directly comparable to KDP’s organic performance. The +1% organic revenue growth for PBNA is the more relevant figure, and it is below KDP’s expected U.S. Refreshment Beverages growth of ~7% YoY.</w:t>
      </w:r>
    </w:p>
    <w:p>
      <w:pPr>
        <w:pStyle w:val="ListBullet"/>
        <w:ind w:left="360" w:hanging="360"/>
      </w:pPr>
      <w:r>
        <w:rPr>
          <w:rFonts w:ascii="Calibri" w:hAnsi="Calibri"/>
          <w:b/>
          <w:color w:val="525866"/>
          <w:sz w:val="22"/>
        </w:rPr>
        <w:t xml:space="preserve">PEP affirmed FY2026 guidance for 2–4% organic revenue growth; noted “certain operating cost increases” as a partial offset to productivity savings. </w:t>
      </w:r>
      <w:r>
        <w:rPr>
          <w:rFonts w:ascii="Calibri" w:hAnsi="Calibri"/>
          <w:color w:val="525866"/>
          <w:sz w:val="22"/>
        </w:rPr>
        <w:t>Read-through: Neutral. PEP’s maintained (not raised) guidance and cost headwinds are a mild caution flag for the category, though KDP’s beverage segment has been outperforming PEP on volume/share metrics.</w:t>
      </w:r>
    </w:p>
    <w:p>
      <w:pPr>
        <w:pStyle w:val="ListBullet"/>
        <w:ind w:left="360" w:hanging="360"/>
      </w:pPr>
      <w:r>
        <w:rPr>
          <w:rFonts w:ascii="Calibri" w:hAnsi="Calibri"/>
          <w:b/>
          <w:color w:val="525866"/>
          <w:sz w:val="22"/>
        </w:rPr>
        <w:t xml:space="preserve">Global organic volume year-to-date at highest rate since 2022, driven by “hydration, protein and fiber, energy and zero sugar beverage varieties.” </w:t>
      </w:r>
      <w:r>
        <w:rPr>
          <w:rFonts w:ascii="Calibri" w:hAnsi="Calibri"/>
          <w:color w:val="525866"/>
          <w:sz w:val="22"/>
        </w:rPr>
        <w:t>Read-through: Positive for KDP’s energy and sports hydration portfolio (GHOST, Bloom, C4, Electrolit). The functional beverage categories where KDP has been investing are confirmed as the strongest growth vectors in the industry.</w:t>
      </w:r>
    </w:p>
    <w:p>
      <w:pPr>
        <w:pStyle w:val="ListBullet"/>
        <w:ind w:left="360" w:hanging="360"/>
      </w:pPr>
      <w:r>
        <w:rPr>
          <w:rFonts w:ascii="Calibri" w:hAnsi="Calibri"/>
          <w:b/>
          <w:color w:val="525866"/>
          <w:sz w:val="22"/>
        </w:rPr>
        <w:t xml:space="preserve">Limitation: </w:t>
      </w:r>
      <w:r>
        <w:rPr>
          <w:rFonts w:ascii="Calibri" w:hAnsi="Calibri"/>
          <w:color w:val="525866"/>
          <w:sz w:val="22"/>
        </w:rPr>
        <w:t>PEP’s PBNA volume decline may reflect PEP-specific execution issues (portfolio rationalization, pricing elasticity) rather than category-level weakness. PEP has no coffee business comparable to KDP’s U.S. Coffee or JDE Peet’s segments. The transcript content available was limited (call ended notice only); the above is based on the earnings release document.</w:t>
      </w:r>
    </w:p>
    <w:p>
      <w:pPr>
        <w:pStyle w:val="Heading3"/>
      </w:pPr>
      <w:r>
        <w:rPr>
          <w:rFonts w:ascii="Calibri" w:hAnsi="Calibri"/>
          <w:b/>
          <w:color w:val="3B4259"/>
          <w:sz w:val="24"/>
        </w:rPr>
        <w:t>6c.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Data Point</w:t>
            </w:r>
          </w:p>
        </w:tc>
        <w:tc>
          <w:tcPr>
            <w:tcW w:type="dxa" w:w="1728"/>
            <w:shd w:val="clear" w:color="auto" w:fill="3B4259"/>
          </w:tcPr>
          <w:p>
            <w:r>
              <w:rPr>
                <w:rFonts w:ascii="Calibri" w:hAnsi="Calibri"/>
                <w:b/>
                <w:color w:val="FFFFFF"/>
                <w:sz w:val="22"/>
              </w:rPr>
              <w:t>KDP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KO</w:t>
            </w:r>
          </w:p>
        </w:tc>
        <w:tc>
          <w:tcPr>
            <w:tcW w:type="dxa" w:w="1728"/>
          </w:tcPr>
          <w:p>
            <w:r>
              <w:rPr>
                <w:rFonts w:ascii="Calibri" w:hAnsi="Calibri"/>
                <w:sz w:val="22"/>
              </w:rPr>
              <w:t>Jul 28, 2026</w:t>
            </w:r>
          </w:p>
        </w:tc>
        <w:tc>
          <w:tcPr>
            <w:tcW w:type="dxa" w:w="1728"/>
          </w:tcPr>
          <w:p>
            <w:r>
              <w:rPr>
                <w:rFonts w:ascii="Calibri" w:hAnsi="Calibri"/>
                <w:sz w:val="22"/>
              </w:rPr>
              <w:t>N. America volume +3%; price/mix +4%; guidance raised</w:t>
            </w:r>
          </w:p>
        </w:tc>
        <w:tc>
          <w:tcPr>
            <w:tcW w:type="dxa" w:w="1728"/>
          </w:tcPr>
          <w:p>
            <w:r>
              <w:rPr>
                <w:rFonts w:ascii="Calibri" w:hAnsi="Calibri"/>
                <w:sz w:val="22"/>
              </w:rPr>
              <w:t>Positive for U.S. Ref Bev volume &amp; pricing; consumer stable</w:t>
            </w:r>
          </w:p>
        </w:tc>
        <w:tc>
          <w:tcPr>
            <w:tcW w:type="dxa" w:w="1728"/>
          </w:tcPr>
          <w:p>
            <w:r>
              <w:rPr>
                <w:rFonts w:ascii="Calibri" w:hAnsi="Calibri"/>
                <w:b/>
                <w:color w:val="30A46C"/>
                <w:sz w:val="22"/>
              </w:rPr>
              <w:t>Positive</w:t>
            </w:r>
          </w:p>
        </w:tc>
      </w:tr>
      <w:tr>
        <w:tc>
          <w:tcPr>
            <w:tcW w:type="dxa" w:w="1728"/>
          </w:tcPr>
          <w:p>
            <w:r>
              <w:rPr>
                <w:rFonts w:ascii="Calibri" w:hAnsi="Calibri"/>
                <w:sz w:val="22"/>
              </w:rPr>
              <w:t>KO</w:t>
            </w:r>
          </w:p>
        </w:tc>
        <w:tc>
          <w:tcPr>
            <w:tcW w:type="dxa" w:w="1728"/>
          </w:tcPr>
          <w:p>
            <w:r>
              <w:rPr>
                <w:rFonts w:ascii="Calibri" w:hAnsi="Calibri"/>
                <w:sz w:val="22"/>
              </w:rPr>
              <w:t>Jul 28, 2026</w:t>
            </w:r>
          </w:p>
        </w:tc>
        <w:tc>
          <w:tcPr>
            <w:tcW w:type="dxa" w:w="1728"/>
          </w:tcPr>
          <w:p>
            <w:r>
              <w:rPr>
                <w:rFonts w:ascii="Calibri" w:hAnsi="Calibri"/>
                <w:sz w:val="22"/>
              </w:rPr>
              <w:t>Lower-income consumers remain pressured; “value, not just pricing”</w:t>
            </w:r>
          </w:p>
        </w:tc>
        <w:tc>
          <w:tcPr>
            <w:tcW w:type="dxa" w:w="1728"/>
          </w:tcPr>
          <w:p>
            <w:r>
              <w:rPr>
                <w:rFonts w:ascii="Calibri" w:hAnsi="Calibri"/>
                <w:sz w:val="22"/>
              </w:rPr>
              <w:t>Caution on SNAP-exposed SKUs; KDP-specific risk</w:t>
            </w:r>
          </w:p>
        </w:tc>
        <w:tc>
          <w:tcPr>
            <w:tcW w:type="dxa" w:w="1728"/>
          </w:tcPr>
          <w:p>
            <w:r>
              <w:rPr>
                <w:rFonts w:ascii="Calibri" w:hAnsi="Calibri"/>
                <w:i/>
                <w:sz w:val="22"/>
              </w:rPr>
              <w:t>Neutral</w:t>
            </w:r>
          </w:p>
        </w:tc>
      </w:tr>
      <w:tr>
        <w:tc>
          <w:tcPr>
            <w:tcW w:type="dxa" w:w="1728"/>
          </w:tcPr>
          <w:p>
            <w:r>
              <w:rPr>
                <w:rFonts w:ascii="Calibri" w:hAnsi="Calibri"/>
                <w:sz w:val="22"/>
              </w:rPr>
              <w:t>KO</w:t>
            </w:r>
          </w:p>
        </w:tc>
        <w:tc>
          <w:tcPr>
            <w:tcW w:type="dxa" w:w="1728"/>
          </w:tcPr>
          <w:p>
            <w:r>
              <w:rPr>
                <w:rFonts w:ascii="Calibri" w:hAnsi="Calibri"/>
                <w:sz w:val="22"/>
              </w:rPr>
              <w:t>Jul 28, 2026</w:t>
            </w:r>
          </w:p>
        </w:tc>
        <w:tc>
          <w:tcPr>
            <w:tcW w:type="dxa" w:w="1728"/>
          </w:tcPr>
          <w:p>
            <w:r>
              <w:rPr>
                <w:rFonts w:ascii="Calibri" w:hAnsi="Calibri"/>
                <w:sz w:val="22"/>
              </w:rPr>
              <w:t>Input costs “manageable” for remainder of year</w:t>
            </w:r>
          </w:p>
        </w:tc>
        <w:tc>
          <w:tcPr>
            <w:tcW w:type="dxa" w:w="1728"/>
          </w:tcPr>
          <w:p>
            <w:r>
              <w:rPr>
                <w:rFonts w:ascii="Calibri" w:hAnsi="Calibri"/>
                <w:sz w:val="22"/>
              </w:rPr>
              <w:t>Positive for Ref Bev margins; not applicable to Coffee (green coffee is KDP-specific)</w:t>
            </w:r>
          </w:p>
        </w:tc>
        <w:tc>
          <w:tcPr>
            <w:tcW w:type="dxa" w:w="1728"/>
          </w:tcPr>
          <w:p>
            <w:r>
              <w:rPr>
                <w:rFonts w:ascii="Calibri" w:hAnsi="Calibri"/>
                <w:b/>
                <w:color w:val="30A46C"/>
                <w:sz w:val="22"/>
              </w:rPr>
              <w:t>Positive (Ref Bev only)</w:t>
            </w:r>
          </w:p>
        </w:tc>
      </w:tr>
      <w:tr>
        <w:tc>
          <w:tcPr>
            <w:tcW w:type="dxa" w:w="1728"/>
          </w:tcPr>
          <w:p>
            <w:r>
              <w:rPr>
                <w:rFonts w:ascii="Calibri" w:hAnsi="Calibri"/>
                <w:sz w:val="22"/>
              </w:rPr>
              <w:t>PEP</w:t>
            </w:r>
          </w:p>
        </w:tc>
        <w:tc>
          <w:tcPr>
            <w:tcW w:type="dxa" w:w="1728"/>
          </w:tcPr>
          <w:p>
            <w:r>
              <w:rPr>
                <w:rFonts w:ascii="Calibri" w:hAnsi="Calibri"/>
                <w:sz w:val="22"/>
              </w:rPr>
              <w:t>Jul 8–9, 2026</w:t>
            </w:r>
          </w:p>
        </w:tc>
        <w:tc>
          <w:tcPr>
            <w:tcW w:type="dxa" w:w="1728"/>
          </w:tcPr>
          <w:p>
            <w:r>
              <w:rPr>
                <w:rFonts w:ascii="Calibri" w:hAnsi="Calibri"/>
                <w:sz w:val="22"/>
              </w:rPr>
              <w:t>PBNA organic volume -2%; organic revenue +1%</w:t>
            </w:r>
          </w:p>
        </w:tc>
        <w:tc>
          <w:tcPr>
            <w:tcW w:type="dxa" w:w="1728"/>
          </w:tcPr>
          <w:p>
            <w:r>
              <w:rPr>
                <w:rFonts w:ascii="Calibri" w:hAnsi="Calibri"/>
                <w:sz w:val="22"/>
              </w:rPr>
              <w:t>Mixed — KDP may be gaining share from PEP; but category volume softness is a risk</w:t>
            </w:r>
          </w:p>
        </w:tc>
        <w:tc>
          <w:tcPr>
            <w:tcW w:type="dxa" w:w="1728"/>
          </w:tcPr>
          <w:p>
            <w:r>
              <w:rPr>
                <w:rFonts w:ascii="Calibri" w:hAnsi="Calibri"/>
                <w:i/>
                <w:sz w:val="22"/>
              </w:rPr>
              <w:t>Mixed</w:t>
            </w:r>
          </w:p>
        </w:tc>
      </w:tr>
      <w:tr>
        <w:tc>
          <w:tcPr>
            <w:tcW w:type="dxa" w:w="1728"/>
          </w:tcPr>
          <w:p>
            <w:r>
              <w:rPr>
                <w:rFonts w:ascii="Calibri" w:hAnsi="Calibri"/>
                <w:sz w:val="22"/>
              </w:rPr>
              <w:t>PEP</w:t>
            </w:r>
          </w:p>
        </w:tc>
        <w:tc>
          <w:tcPr>
            <w:tcW w:type="dxa" w:w="1728"/>
          </w:tcPr>
          <w:p>
            <w:r>
              <w:rPr>
                <w:rFonts w:ascii="Calibri" w:hAnsi="Calibri"/>
                <w:sz w:val="22"/>
              </w:rPr>
              <w:t>Jul 8–9, 2026</w:t>
            </w:r>
          </w:p>
        </w:tc>
        <w:tc>
          <w:tcPr>
            <w:tcW w:type="dxa" w:w="1728"/>
          </w:tcPr>
          <w:p>
            <w:r>
              <w:rPr>
                <w:rFonts w:ascii="Calibri" w:hAnsi="Calibri"/>
                <w:sz w:val="22"/>
              </w:rPr>
              <w:t>Global organic volume at highest rate since 2022; energy/hydration/zero-sugar leading</w:t>
            </w:r>
          </w:p>
        </w:tc>
        <w:tc>
          <w:tcPr>
            <w:tcW w:type="dxa" w:w="1728"/>
          </w:tcPr>
          <w:p>
            <w:r>
              <w:rPr>
                <w:rFonts w:ascii="Calibri" w:hAnsi="Calibri"/>
                <w:sz w:val="22"/>
              </w:rPr>
              <w:t>Positive for KDP’s energy (GHOST, Bloom, C4) and sports hydration portfolio</w:t>
            </w:r>
          </w:p>
        </w:tc>
        <w:tc>
          <w:tcPr>
            <w:tcW w:type="dxa" w:w="1728"/>
          </w:tcPr>
          <w:p>
            <w:r>
              <w:rPr>
                <w:rFonts w:ascii="Calibri" w:hAnsi="Calibri"/>
                <w:b/>
                <w:color w:val="30A46C"/>
                <w:sz w:val="22"/>
              </w:rPr>
              <w:t>Positive</w:t>
            </w:r>
          </w:p>
        </w:tc>
      </w:tr>
      <w:tr>
        <w:tc>
          <w:tcPr>
            <w:tcW w:type="dxa" w:w="1728"/>
          </w:tcPr>
          <w:p>
            <w:r>
              <w:rPr>
                <w:rFonts w:ascii="Calibri" w:hAnsi="Calibri"/>
                <w:sz w:val="22"/>
              </w:rPr>
              <w:t>PEP</w:t>
            </w:r>
          </w:p>
        </w:tc>
        <w:tc>
          <w:tcPr>
            <w:tcW w:type="dxa" w:w="1728"/>
          </w:tcPr>
          <w:p>
            <w:r>
              <w:rPr>
                <w:rFonts w:ascii="Calibri" w:hAnsi="Calibri"/>
                <w:sz w:val="22"/>
              </w:rPr>
              <w:t>Jul 8–9, 2026</w:t>
            </w:r>
          </w:p>
        </w:tc>
        <w:tc>
          <w:tcPr>
            <w:tcW w:type="dxa" w:w="1728"/>
          </w:tcPr>
          <w:p>
            <w:r>
              <w:rPr>
                <w:rFonts w:ascii="Calibri" w:hAnsi="Calibri"/>
                <w:sz w:val="22"/>
              </w:rPr>
              <w:t>FY2026 guidance affirmed (not raised); “certain operating cost increases”</w:t>
            </w:r>
          </w:p>
        </w:tc>
        <w:tc>
          <w:tcPr>
            <w:tcW w:type="dxa" w:w="1728"/>
          </w:tcPr>
          <w:p>
            <w:r>
              <w:rPr>
                <w:rFonts w:ascii="Calibri" w:hAnsi="Calibri"/>
                <w:sz w:val="22"/>
              </w:rPr>
              <w:t>Mild caution on cost environment; KDP’s Coffee cost headwinds are more acute</w:t>
            </w:r>
          </w:p>
        </w:tc>
        <w:tc>
          <w:tcPr>
            <w:tcW w:type="dxa" w:w="1728"/>
          </w:tcPr>
          <w:p>
            <w:r>
              <w:rPr>
                <w:rFonts w:ascii="Calibri" w:hAnsi="Calibri"/>
                <w:i/>
                <w:sz w:val="22"/>
              </w:rPr>
              <w:t>Neutral</w:t>
            </w:r>
          </w:p>
        </w:tc>
      </w:tr>
    </w:tbl>
    <w:p>
      <w:r>
        <w:rPr>
          <w:rFonts w:ascii="Calibri" w:hAnsi="Calibri"/>
          <w:b/>
          <w:color w:val="525866"/>
          <w:sz w:val="22"/>
        </w:rPr>
        <w:t xml:space="preserve">Important caveat: </w:t>
      </w:r>
      <w:r>
        <w:rPr>
          <w:rFonts w:ascii="Calibri" w:hAnsi="Calibri"/>
          <w:color w:val="525866"/>
          <w:sz w:val="22"/>
        </w:rPr>
        <w:t>Neither KO nor PEP has a meaningful coffee business comparable to KDP’s U.S. Coffee segment or JDE Peet’s. The green coffee commodity cost trajectory — the single most important driver of KDP’s Q2 Coffee OI — has no peer read-through available. The Coffee recovery narrative is entirely KDP-specific and must be validated by the Q2 print itself.</w:t>
      </w:r>
    </w:p>
    <w:p>
      <w:r>
        <w:br w:type="page"/>
      </w:r>
    </w:p>
    <w:p>
      <w:pPr>
        <w:pStyle w:val="Heading2"/>
      </w:pPr>
      <w:r>
        <w:rPr>
          <w:rFonts w:ascii="Calibri" w:hAnsi="Calibri"/>
          <w:b/>
          <w:color w:val="3B4259"/>
          <w:sz w:val="28"/>
        </w:rPr>
        <w:t>7. Material News &amp; Developments (Since April 23, 2026)</w:t>
      </w:r>
    </w:p>
    <w:p>
      <w:r>
        <w:rPr>
          <w:rFonts w:ascii="Calibri" w:hAnsi="Calibri"/>
          <w:b/>
          <w:color w:val="525866"/>
          <w:sz w:val="22"/>
        </w:rPr>
        <w:t xml:space="preserve">Key Takeaway: </w:t>
      </w:r>
      <w:r>
        <w:rPr>
          <w:rFonts w:ascii="Calibri" w:hAnsi="Calibri"/>
          <w:color w:val="525866"/>
          <w:sz w:val="22"/>
        </w:rPr>
        <w:t>The most important development since the Q1 print is the June 23 departure of Global Coffee Co. CEO Rafa Oliveira, which introduces execution risk on the separation timeline and raises questions about leadership continuity for the coffee business heading into the Q2 print. The guidance reaffirmation on the same date partially offset the negative signal.</w:t>
      </w:r>
    </w:p>
    <w:p>
      <w:pPr>
        <w:pStyle w:val="ListBullet"/>
        <w:ind w:left="360" w:hanging="360"/>
      </w:pPr>
      <w:r>
        <w:rPr>
          <w:rFonts w:ascii="Calibri" w:hAnsi="Calibri"/>
          <w:b/>
          <w:color w:val="525866"/>
          <w:sz w:val="22"/>
        </w:rPr>
        <w:t xml:space="preserve">June 23, 2026 — Rafa Oliveira (Global Coffee Co. CEO-designate) to depart end of July 2026. </w:t>
      </w:r>
      <w:r>
        <w:rPr>
          <w:rFonts w:ascii="Calibri" w:hAnsi="Calibri"/>
          <w:color w:val="525866"/>
          <w:sz w:val="22"/>
        </w:rPr>
        <w:t xml:space="preserve">(Effective: end of July 2026; Disclosed: June 23, 2026 via 8-K.) Oliveira, who was named CEO of the coffee operating unit upon the JDE Peet’s close, informed KDP of his intention to leave for an external CEO opportunity. Tim Cofer (KDP CEO) will assume direct oversight of the coffee business while the Board searches for a permanent Global Coffee Co. CEO. </w:t>
      </w:r>
      <w:r>
        <w:rPr>
          <w:rFonts w:ascii="Calibri" w:hAnsi="Calibri"/>
          <w:b/>
          <w:color w:val="525866"/>
          <w:sz w:val="22"/>
        </w:rPr>
        <w:t xml:space="preserve">Implication: </w:t>
      </w:r>
      <w:r>
        <w:rPr>
          <w:rFonts w:ascii="Calibri" w:hAnsi="Calibri"/>
          <w:color w:val="525866"/>
          <w:sz w:val="22"/>
        </w:rPr>
        <w:t>Significant execution risk for the separation timeline. The coffee business is the more complex of the two future entities, and losing its designated CEO six months before the targeted separation creates uncertainty. The Board’s CEO search adds a variable to the early 2027 separation timeline.</w:t>
      </w:r>
    </w:p>
    <w:p>
      <w:pPr>
        <w:pStyle w:val="ListBullet"/>
        <w:ind w:left="360" w:hanging="360"/>
      </w:pPr>
      <w:r>
        <w:rPr>
          <w:rFonts w:ascii="Calibri" w:hAnsi="Calibri"/>
          <w:b/>
          <w:color w:val="525866"/>
          <w:sz w:val="22"/>
        </w:rPr>
        <w:t xml:space="preserve">June 23, 2026 — KDP reaffirms FY2026 guidance (net sales $25.9–26.4B; low double-digit EPS growth CC). </w:t>
      </w:r>
      <w:r>
        <w:rPr>
          <w:rFonts w:ascii="Calibri" w:hAnsi="Calibri"/>
          <w:color w:val="525866"/>
          <w:sz w:val="22"/>
        </w:rPr>
        <w:t xml:space="preserve">(Disclosed: June 23, 2026 via 8-K.) Issued simultaneously with the Oliveira departure announcement. </w:t>
      </w:r>
      <w:r>
        <w:rPr>
          <w:rFonts w:ascii="Calibri" w:hAnsi="Calibri"/>
          <w:b/>
          <w:color w:val="525866"/>
          <w:sz w:val="22"/>
        </w:rPr>
        <w:t xml:space="preserve">Implication: </w:t>
      </w:r>
      <w:r>
        <w:rPr>
          <w:rFonts w:ascii="Calibri" w:hAnsi="Calibri"/>
          <w:color w:val="525866"/>
          <w:sz w:val="22"/>
        </w:rPr>
        <w:t>Management’s decision to reaffirm guidance on the same day as the leadership change was a deliberate signal of operational continuity. The reaffirmation is the third consecutive confirmation of the FY2026 outlook (Q1 call, Deutsche Bank Conference, June 23 8-K).</w:t>
      </w:r>
    </w:p>
    <w:p>
      <w:pPr>
        <w:pStyle w:val="ListBullet"/>
        <w:ind w:left="360" w:hanging="360"/>
      </w:pPr>
      <w:r>
        <w:rPr>
          <w:rFonts w:ascii="Calibri" w:hAnsi="Calibri"/>
          <w:b/>
          <w:color w:val="525866"/>
          <w:sz w:val="22"/>
        </w:rPr>
        <w:t xml:space="preserve">June 25, 2026 — Angela Stephens (SVP, Controller, Principal Accounting Officer) announces retirement. </w:t>
      </w:r>
      <w:r>
        <w:rPr>
          <w:rFonts w:ascii="Calibri" w:hAnsi="Calibri"/>
          <w:color w:val="525866"/>
          <w:sz w:val="22"/>
        </w:rPr>
        <w:t xml:space="preserve">(Effective: post-separation; Disclosed: June 25, 2026 via 8-K.) Stephens, with nearly 18 years of service, will remain to help establish controller functions for both new entities before retiring. </w:t>
      </w:r>
      <w:r>
        <w:rPr>
          <w:rFonts w:ascii="Calibri" w:hAnsi="Calibri"/>
          <w:b/>
          <w:color w:val="525866"/>
          <w:sz w:val="22"/>
        </w:rPr>
        <w:t xml:space="preserve">Implication: </w:t>
      </w:r>
      <w:r>
        <w:rPr>
          <w:rFonts w:ascii="Calibri" w:hAnsi="Calibri"/>
          <w:color w:val="525866"/>
          <w:sz w:val="22"/>
        </w:rPr>
        <w:t>A second senior finance departure in two days adds to the leadership transition narrative. However, the structured transition plan (remaining through separation) limits near-term operational risk.</w:t>
      </w:r>
    </w:p>
    <w:p>
      <w:pPr>
        <w:pStyle w:val="ListBullet"/>
        <w:ind w:left="360" w:hanging="360"/>
      </w:pPr>
      <w:r>
        <w:rPr>
          <w:rFonts w:ascii="Calibri" w:hAnsi="Calibri"/>
          <w:b/>
          <w:color w:val="525866"/>
          <w:sz w:val="22"/>
        </w:rPr>
        <w:t xml:space="preserve">June 3, 2026 — Deutsche Bank dbAccess Global Consumer Conference. </w:t>
      </w:r>
      <w:r>
        <w:rPr>
          <w:rFonts w:ascii="Calibri" w:hAnsi="Calibri"/>
          <w:color w:val="525866"/>
          <w:sz w:val="22"/>
        </w:rPr>
        <w:t xml:space="preserve">(Disclosed: June 3, 2026.) CEO Tim Cofer and CFO Anthony DiSilvestro presented. Key highlights: (1) FY2026 guidance reaffirmed ($25.9–26.4B net sales, low double-digit EPS growth); (2) energy market share now “over 8%” with 10%+ already achieved at 13 major U.S. customers; (3) Dr Pepper gaining share for 9 consecutive years, #1 teen beverage brand on TikTok; (4) Keurig Alta targeted for late 2026 North American launch; (5) $400M synergy target from JDE Peet’s reaffirmed. </w:t>
      </w:r>
      <w:r>
        <w:rPr>
          <w:rFonts w:ascii="Calibri" w:hAnsi="Calibri"/>
          <w:b/>
          <w:color w:val="525866"/>
          <w:sz w:val="22"/>
        </w:rPr>
        <w:t xml:space="preserve">Implication: </w:t>
      </w:r>
      <w:r>
        <w:rPr>
          <w:rFonts w:ascii="Calibri" w:hAnsi="Calibri"/>
          <w:color w:val="525866"/>
          <w:sz w:val="22"/>
        </w:rPr>
        <w:t>Constructive tone across all segments; no new negative signals. The energy share milestone at 13 major customers is a positive leading indicator for Q2 Refreshment Beverages performance.</w:t>
      </w:r>
    </w:p>
    <w:p>
      <w:pPr>
        <w:pStyle w:val="ListBullet"/>
        <w:ind w:left="360" w:hanging="360"/>
      </w:pPr>
      <w:r>
        <w:rPr>
          <w:rFonts w:ascii="Calibri" w:hAnsi="Calibri"/>
          <w:b/>
          <w:color w:val="525866"/>
          <w:sz w:val="22"/>
        </w:rPr>
        <w:t xml:space="preserve">May 22, 2026 — JDE Peet’s cross-guarantee structure established. </w:t>
      </w:r>
      <w:r>
        <w:rPr>
          <w:rFonts w:ascii="Calibri" w:hAnsi="Calibri"/>
          <w:color w:val="525866"/>
          <w:sz w:val="22"/>
        </w:rPr>
        <w:t xml:space="preserve">(Effective: May 21, 2026; Disclosed: May 22, 2026 via 8-K.) JDEP Coffee B.V. agreed to guarantee KDP’s existing senior notes and revolving credit facility; KDP and KDP Guarantors agreed to guarantee JDEP’s EUR and USD notes (€3.45B + $1.25B). All guarantees automatically terminate upon the Separation. </w:t>
      </w:r>
      <w:r>
        <w:rPr>
          <w:rFonts w:ascii="Calibri" w:hAnsi="Calibri"/>
          <w:b/>
          <w:color w:val="525866"/>
          <w:sz w:val="22"/>
        </w:rPr>
        <w:t xml:space="preserve">Implication: </w:t>
      </w:r>
      <w:r>
        <w:rPr>
          <w:rFonts w:ascii="Calibri" w:hAnsi="Calibri"/>
          <w:color w:val="525866"/>
          <w:sz w:val="22"/>
        </w:rPr>
        <w:t>Deepens financial integration between KDP and JDE Peet’s ahead of separation, likely improving borrowing terms for the combined entity. The automatic termination clause confirms the separation remains the strategic endpoint.</w:t>
      </w:r>
    </w:p>
    <w:p>
      <w:pPr>
        <w:pStyle w:val="ListBullet"/>
        <w:ind w:left="360" w:hanging="360"/>
      </w:pPr>
      <w:r>
        <w:rPr>
          <w:rFonts w:ascii="Calibri" w:hAnsi="Calibri"/>
          <w:b/>
          <w:color w:val="525866"/>
          <w:sz w:val="22"/>
        </w:rPr>
        <w:t xml:space="preserve">April 21, 2026 — Nestlé/Starbucks K-Cup partnership renewed and expanded. </w:t>
      </w:r>
      <w:r>
        <w:rPr>
          <w:rFonts w:ascii="Calibri" w:hAnsi="Calibri"/>
          <w:color w:val="525866"/>
          <w:sz w:val="22"/>
        </w:rPr>
        <w:t xml:space="preserve">(Disclosed: April 21, 2026.) KDP and Nestlé USA announced an extended and expanded strategic partnership for Starbucks K-Cup pods in the U.S. and Canada, building on the 2020 collaboration with new programs focused on distribution expansion and innovation. </w:t>
      </w:r>
      <w:r>
        <w:rPr>
          <w:rFonts w:ascii="Calibri" w:hAnsi="Calibri"/>
          <w:b/>
          <w:color w:val="525866"/>
          <w:sz w:val="22"/>
        </w:rPr>
        <w:t xml:space="preserve">Implication: </w:t>
      </w:r>
      <w:r>
        <w:rPr>
          <w:rFonts w:ascii="Calibri" w:hAnsi="Calibri"/>
          <w:color w:val="525866"/>
          <w:sz w:val="22"/>
        </w:rPr>
        <w:t>Positive for U.S. Coffee pod volumes. The Starbucks K-Cup line is one of the highest-margin pod SKUs; renewal removes a key renewal risk and adds distribution/innovation upside.</w:t>
      </w:r>
    </w:p>
    <w:p>
      <w:pPr>
        <w:pStyle w:val="ListBullet"/>
        <w:ind w:left="360" w:hanging="360"/>
      </w:pPr>
      <w:r>
        <w:rPr>
          <w:rFonts w:ascii="Calibri" w:hAnsi="Calibri"/>
          <w:b/>
          <w:color w:val="525866"/>
          <w:sz w:val="22"/>
        </w:rPr>
        <w:t xml:space="preserve">April 1, 2026 — JDE Peet’s acquisition closed. </w:t>
      </w:r>
      <w:r>
        <w:rPr>
          <w:rFonts w:ascii="Calibri" w:hAnsi="Calibri"/>
          <w:color w:val="525866"/>
          <w:sz w:val="22"/>
        </w:rPr>
        <w:t xml:space="preserve">(Effective: April 1, 2026; Disclosed: April 23, 2026 on Q1 earnings call.) Q2 2026 will be the first full quarter of JDE Peet’s consolidation, contributing approximately $2.1–2.2B in revenue (based on the $8.5–8.7B FY2026 contribution guidance, pro-rated for 3 quarters). </w:t>
      </w:r>
      <w:r>
        <w:rPr>
          <w:rFonts w:ascii="Calibri" w:hAnsi="Calibri"/>
          <w:b/>
          <w:color w:val="525866"/>
          <w:sz w:val="22"/>
        </w:rPr>
        <w:t xml:space="preserve">Implication: </w:t>
      </w:r>
      <w:r>
        <w:rPr>
          <w:rFonts w:ascii="Calibri" w:hAnsi="Calibri"/>
          <w:color w:val="525866"/>
          <w:sz w:val="22"/>
        </w:rPr>
        <w:t>The JDE Peet’s segment will be the largest single driver of the YoY revenue increase in Q2. Management noted JDE Peet’s profit will be “more constrained in this inflationary first half” with acceleration expected in H2 — the Q2 print will be the first test of this phasing.</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transaction codes P/S) were identified for KDP in the period from April 23, 2026 through August 5, 2026. The absence of insider buying is not unusual for a company in the midst of a major acquisition integration and planned separation, where trading windows are likely restricted. No 10b5-1 plan initiations were identified in the available data.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(Form 4 codes P/S) identified in the Apr 23 – Aug 5, 2026 window per SEC Form 4 database query</w:t>
            </w:r>
          </w:p>
        </w:tc>
      </w:tr>
    </w:tbl>
    <w:p>
      <w:r>
        <w:rPr>
          <w:rFonts w:ascii="Calibri" w:hAnsi="Calibri"/>
          <w:color w:val="525866"/>
          <w:sz w:val="22"/>
        </w:rPr>
        <w:t>The lack of open-market insider activity is consistent with KDP’s position as a company in an active M&amp;A integration and separation planning phase, where insiders are likely subject to extended blackout periods and restricted trading windows. The two senior leadership departures announced in June (Oliveira and Stephens) were voluntary retirements/external opportunities, not Form 4 dispositions. Nothing stands out as a notable signal in either direction.</w:t>
      </w:r>
    </w:p>
    <w:p>
      <w:r>
        <w:rPr>
          <w:rFonts w:ascii="Calibri" w:hAnsi="Calibri"/>
          <w:i/>
          <w:color w:val="525866"/>
          <w:sz w:val="22"/>
        </w:rPr>
        <w:t>Source: SEC Form 4 Filings Database. Query covered April 23, 2026 – August 5, 2026, transaction codes P (open-market purchase) and S (open-market sale) for ticker KDP.</w:t>
      </w:r>
    </w:p>
    <w:p>
      <w:r>
        <w:br w:type="page"/>
      </w:r>
    </w:p>
    <w:p>
      <w:pPr>
        <w:pStyle w:val="Heading2"/>
      </w:pPr>
      <w:r>
        <w:rPr>
          <w:rFonts w:ascii="Calibri" w:hAnsi="Calibri"/>
          <w:b/>
          <w:color w:val="3B4259"/>
          <w:sz w:val="28"/>
        </w:rPr>
        <w:t>Appendix: Key Risks to the Q2 2026 Thesis</w:t>
      </w:r>
    </w:p>
    <w:p>
      <w:pPr>
        <w:pStyle w:val="ListBullet"/>
        <w:ind w:left="360" w:hanging="360"/>
      </w:pPr>
      <w:r>
        <w:rPr>
          <w:rFonts w:ascii="Calibri" w:hAnsi="Calibri"/>
          <w:b/>
          <w:color w:val="525866"/>
          <w:sz w:val="22"/>
        </w:rPr>
        <w:t xml:space="preserve">Downside: </w:t>
      </w:r>
      <w:r>
        <w:rPr>
          <w:rFonts w:ascii="Calibri" w:hAnsi="Calibri"/>
          <w:color w:val="525866"/>
          <w:sz w:val="22"/>
        </w:rPr>
        <w:t>U.S. Coffee OI misses the $254M consensus if green coffee cost relief is slower than guided (Q1 was $199M; the $55M sequential improvement is a large step-up). Any miss here would call into question the H2 acceleration narrative and likely pressure the FY2026 EPS guide.</w:t>
      </w:r>
    </w:p>
    <w:p>
      <w:pPr>
        <w:pStyle w:val="ListBullet"/>
        <w:ind w:left="360" w:hanging="360"/>
      </w:pPr>
      <w:r>
        <w:rPr>
          <w:rFonts w:ascii="Calibri" w:hAnsi="Calibri"/>
          <w:b/>
          <w:color w:val="525866"/>
          <w:sz w:val="22"/>
        </w:rPr>
        <w:t xml:space="preserve">Downside: </w:t>
      </w:r>
      <w:r>
        <w:rPr>
          <w:rFonts w:ascii="Calibri" w:hAnsi="Calibri"/>
          <w:color w:val="525866"/>
          <w:sz w:val="22"/>
        </w:rPr>
        <w:t>JDE Peet’s first full-quarter contribution disappoints on either revenue or OI, particularly if the “inflationary first half” phasing is worse than the $8.5–8.7B FY contribution range implies.</w:t>
      </w:r>
    </w:p>
    <w:p>
      <w:pPr>
        <w:pStyle w:val="ListBullet"/>
        <w:ind w:left="360" w:hanging="360"/>
      </w:pPr>
      <w:r>
        <w:rPr>
          <w:rFonts w:ascii="Calibri" w:hAnsi="Calibri"/>
          <w:b/>
          <w:color w:val="525866"/>
          <w:sz w:val="22"/>
        </w:rPr>
        <w:t xml:space="preserve">Downside: </w:t>
      </w:r>
      <w:r>
        <w:rPr>
          <w:rFonts w:ascii="Calibri" w:hAnsi="Calibri"/>
          <w:color w:val="525866"/>
          <w:sz w:val="22"/>
        </w:rPr>
        <w:t>Rafa Oliveira’s departure (effective end of July) creates uncertainty around Global Coffee Co. leadership and could delay the early 2027 separation timeline, which is a key catalyst for multiple re-rating.</w:t>
      </w:r>
    </w:p>
    <w:p>
      <w:pPr>
        <w:pStyle w:val="ListBullet"/>
        <w:ind w:left="360" w:hanging="360"/>
      </w:pPr>
      <w:r>
        <w:rPr>
          <w:rFonts w:ascii="Calibri" w:hAnsi="Calibri"/>
          <w:b/>
          <w:color w:val="525866"/>
          <w:sz w:val="22"/>
        </w:rPr>
        <w:t xml:space="preserve">Downside: </w:t>
      </w:r>
      <w:r>
        <w:rPr>
          <w:rFonts w:ascii="Calibri" w:hAnsi="Calibri"/>
          <w:color w:val="525866"/>
          <w:sz w:val="22"/>
        </w:rPr>
        <w:t>U.S. Refreshment Beverages moderates more sharply than expected from Q1’s 11.9% growth, particularly if GHOST distribution gains (which management flagged as an outsized Q1 benefit) do not repeat and SNAP restrictions weigh on lower-income consumers.</w:t>
      </w:r>
    </w:p>
    <w:p>
      <w:pPr>
        <w:pStyle w:val="ListBullet"/>
        <w:ind w:left="360" w:hanging="360"/>
      </w:pPr>
      <w:r>
        <w:rPr>
          <w:rFonts w:ascii="Calibri" w:hAnsi="Calibri"/>
          <w:b/>
          <w:color w:val="525866"/>
          <w:sz w:val="22"/>
        </w:rPr>
        <w:t xml:space="preserve">Upside: </w:t>
      </w:r>
      <w:r>
        <w:rPr>
          <w:rFonts w:ascii="Calibri" w:hAnsi="Calibri"/>
          <w:color w:val="525866"/>
          <w:sz w:val="22"/>
        </w:rPr>
        <w:t>U.S. Coffee OI exceeds $254M consensus, validating the Q1-trough narrative and giving the Street confidence in the H2 acceleration story — this would be the single biggest positive catalyst for the stock.</w:t>
      </w:r>
    </w:p>
    <w:p>
      <w:pPr>
        <w:pStyle w:val="ListBullet"/>
        <w:ind w:left="360" w:hanging="360"/>
      </w:pPr>
      <w:r>
        <w:rPr>
          <w:rFonts w:ascii="Calibri" w:hAnsi="Calibri"/>
          <w:b/>
          <w:color w:val="525866"/>
          <w:sz w:val="22"/>
        </w:rPr>
        <w:t xml:space="preserve">Upside: </w:t>
      </w:r>
      <w:r>
        <w:rPr>
          <w:rFonts w:ascii="Calibri" w:hAnsi="Calibri"/>
          <w:color w:val="525866"/>
          <w:sz w:val="22"/>
        </w:rPr>
        <w:t>JDE Peet’s integration synergies track ahead of the $400M/3-year target, or management provides more specific phasing on the early 2027 separation timeline, both of which would support multiple re-rating.</w:t>
      </w:r>
    </w:p>
    <w:p>
      <w:pPr>
        <w:pStyle w:val="ListBullet"/>
        <w:ind w:left="360" w:hanging="360"/>
      </w:pPr>
      <w:r>
        <w:rPr>
          <w:rFonts w:ascii="Calibri" w:hAnsi="Calibri"/>
          <w:b/>
          <w:color w:val="525866"/>
          <w:sz w:val="22"/>
        </w:rPr>
        <w:t xml:space="preserve">Upside: </w:t>
      </w:r>
      <w:r>
        <w:rPr>
          <w:rFonts w:ascii="Calibri" w:hAnsi="Calibri"/>
          <w:color w:val="525866"/>
          <w:sz w:val="22"/>
        </w:rPr>
        <w:t>Energy market share continues to accelerate (currently &gt;8% overall, &gt;10% at 13 major customers), with GHOST and Bloom driving incremental distribution gains that offset the C4 Smart subline discontinuation.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