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KHC before writing the preview. Let me gather recent earnings materials, news, and price data.Let me read the most recent earnings materials and gather more context on the strategic situation.Let me get the stock price history and additional strategic context on the split situation.Let me get more context on the split saga and recent analyst/news sentiment.Let me quickly confirm the split timeline details and read the Disney partnership news.I have what I need. Here is the earnings preview.</w:t>
      </w:r>
    </w:p>
    <w:p>
      <w:r>
        <w:pict>
          <v:rect style="width:0;height:1.5pt" o:hralign="center" o:hrstd="t" o:hr="t"/>
        </w:pict>
      </w:r>
    </w:p>
    <w:bookmarkStart w:id="24" w:name="X4cd59803f0bcd4ee2eb916b2fb5ea070e66af80"/>
    <w:p>
      <w:pPr>
        <w:pStyle w:val="Heading1"/>
      </w:pPr>
      <w:r>
        <w:t xml:space="preserve">Kraft Heinz (KHC) — Q2 2026 Earnings Preview</w:t>
      </w:r>
    </w:p>
    <w:bookmarkStart w:id="9" w:name="Xccda1c0f6020e4b2d3e25ecf428e40c4812be90"/>
    <w:p>
      <w:pPr>
        <w:pStyle w:val="Heading3"/>
      </w:pPr>
      <w:r>
        <w:t xml:space="preserve">Reports Wednesday, August 5, 2026 (before the open) | Live Q&amp;A 9:00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the second print of the Steve Cahillane era, and the market wants proof that Q1's "green shoots" were real momentum rather than a holiday-timing mirage. Expect optically ugly headline declines (the Street knows this) — the debate is about</w:t>
      </w:r>
      <w:r>
        <w:t xml:space="preserve"> </w:t>
      </w:r>
      <w:r>
        <w:rPr>
          <w:b/>
          <w:bCs/>
        </w:rPr>
        <w:t xml:space="preserve">underlying market-share trajectory, the H2 inflation ramp, and whether management holds or trims the full-year outlook.</w:t>
      </w:r>
    </w:p>
    <w:p>
      <w:r>
        <w:pict>
          <v:rect style="width:0;height:1.5pt" o:hralign="center" o:hrstd="t" o:hr="t"/>
        </w:pict>
      </w:r>
    </w:p>
    <w:bookmarkEnd w:id="10"/>
    <w:bookmarkStart w:id="11" w:name="where-the-stock-and-sentiment-sit"/>
    <w:p>
      <w:pPr>
        <w:pStyle w:val="Heading2"/>
      </w:pPr>
      <w:r>
        <w:t xml:space="preserve">Where the stock and sentiment sit</w:t>
      </w:r>
    </w:p>
    <w:p>
      <w:pPr>
        <w:pStyle w:val="Compact"/>
        <w:numPr>
          <w:ilvl w:val="0"/>
          <w:numId w:val="1001"/>
        </w:numPr>
      </w:pPr>
      <w:r>
        <w:t xml:space="preserve">KHC closed at</w:t>
      </w:r>
      <w:r>
        <w:t xml:space="preserve"> </w:t>
      </w:r>
      <m:oMath>
        <m:r>
          <m:t>26.66</m:t>
        </m:r>
        <m:r>
          <m:t>o</m:t>
        </m:r>
        <m:r>
          <m:t>n</m:t>
        </m:r>
        <m:r>
          <m:t>A</m:t>
        </m:r>
        <m:r>
          <m:t>u</m:t>
        </m:r>
        <m:r>
          <m:t>g</m:t>
        </m:r>
        <m:r>
          <m:t>4</m:t>
        </m:r>
        <m:r>
          <m:rPr>
            <m:sty m:val="p"/>
          </m:rPr>
          <m:t>*</m:t>
        </m:r>
        <m:r>
          <m:rPr>
            <m:sty m:val="p"/>
          </m:rPr>
          <m:t>*</m:t>
        </m:r>
        <m:r>
          <m:rPr>
            <m:sty m:val="p"/>
          </m:rPr>
          <m:t>,</m:t>
        </m:r>
        <m:r>
          <m:t>h</m:t>
        </m:r>
        <m:r>
          <m:t>a</m:t>
        </m:r>
        <m:r>
          <m:t>v</m:t>
        </m:r>
        <m:r>
          <m:t>i</m:t>
        </m:r>
        <m:r>
          <m:t>n</m:t>
        </m:r>
        <m:r>
          <m:t>g</m:t>
        </m:r>
        <m:r>
          <m:t>r</m:t>
        </m:r>
        <m:r>
          <m:t>a</m:t>
        </m:r>
        <m:r>
          <m:t>l</m:t>
        </m:r>
        <m:r>
          <m:t>l</m:t>
        </m:r>
        <m:r>
          <m:t>i</m:t>
        </m:r>
        <m:r>
          <m:t>e</m:t>
        </m:r>
        <m:r>
          <m:t>d</m:t>
        </m:r>
        <m:r>
          <m:t>r</m:t>
        </m:r>
        <m:r>
          <m:t>o</m:t>
        </m:r>
        <m:r>
          <m:t>u</m:t>
        </m:r>
        <m:r>
          <m:t>g</m:t>
        </m:r>
        <m:r>
          <m:t>h</m:t>
        </m:r>
        <m:r>
          <m:t>l</m:t>
        </m:r>
        <m:r>
          <m:t>y</m:t>
        </m:r>
        <m:r>
          <m:rPr>
            <m:sty m:val="p"/>
          </m:rPr>
          <m:t>*</m:t>
        </m:r>
        <m:r>
          <m:rPr>
            <m:sty m:val="p"/>
          </m:rPr>
          <m:t>*</m:t>
        </m:r>
        <m:r>
          <m:rPr>
            <m:sty m:val="p"/>
          </m:rPr>
          <m:t>+</m:t>
        </m:r>
        <m:r>
          <m:t>24</m:t>
        </m:r>
      </m:oMath>
      <w:r>
        <w:rPr>
          <w:b/>
          <w:bCs/>
        </w:rPr>
        <w:t xml:space="preserve">21.21</w:t>
      </w:r>
      <w:r>
        <w:t xml:space="preserve">, with a notable pop into month-end (from ~$25.85 on 7/31 back up on 8/3–8/4). Shares are still down modestly over the past year.</w:t>
      </w:r>
    </w:p>
    <w:p>
      <w:pPr>
        <w:pStyle w:val="Compact"/>
        <w:numPr>
          <w:ilvl w:val="0"/>
          <w:numId w:val="1001"/>
        </w:numPr>
      </w:pPr>
      <w:r>
        <w:t xml:space="preserve">Sentiment is washed out but thawing: while sentiment around food-focused consumer staples firms remains very negative, investors are growing increasingly comfortable and confident with turnaround initiatives under the new management team.</w:t>
      </w:r>
    </w:p>
    <w:p>
      <w:pPr>
        <w:pStyle w:val="Compact"/>
        <w:numPr>
          <w:ilvl w:val="0"/>
          <w:numId w:val="1001"/>
        </w:numPr>
      </w:pPr>
      <w:r>
        <w:t xml:space="preserve">Context on the trailing year: organic sales fell 3.4% in 2025 from a year ago, while adjusted earnings declined 15%. Management guides 2026 organic sales down another 1.5%–3.5%.</w:t>
      </w:r>
    </w:p>
    <w:p>
      <w:r>
        <w:pict>
          <v:rect style="width:0;height:1.5pt" o:hralign="center" o:hrstd="t" o:hr="t"/>
        </w:pict>
      </w:r>
    </w:p>
    <w:bookmarkEnd w:id="11"/>
    <w:bookmarkStart w:id="12" w:name="consensus-expectations-for-q2"/>
    <w:p>
      <w:pPr>
        <w:pStyle w:val="Heading2"/>
      </w:pPr>
      <w:r>
        <w:t xml:space="preserve">Consensus expectations for Q2</w:t>
      </w:r>
    </w:p>
    <w:p>
      <w:pPr>
        <w:pStyle w:val="FirstParagraph"/>
      </w:pPr>
      <w:r>
        <w:t xml:space="preserve">The Street is braced for a soft quarter. Per the pre-print digest, consensus looks for: organic revenue decline of 3.5% (including volume declines of 4.1%), EBITDA decline of 16% to $1.28B, and EPS decline of 23% to 53 cents.</w:t>
      </w:r>
    </w:p>
    <w:p>
      <w:pPr>
        <w:pStyle w:val="BodyText"/>
      </w:pPr>
      <w:r>
        <w:t xml:space="preserve">Importantly,</w:t>
      </w:r>
      <w:r>
        <w:t xml:space="preserve"> </w:t>
      </w:r>
      <w:r>
        <w:rPr>
          <w:b/>
          <w:bCs/>
        </w:rPr>
        <w:t xml:space="preserve">management effectively pre-guided to this weakness.</w:t>
      </w:r>
      <w:r>
        <w:t xml:space="preserve"> </w:t>
      </w:r>
      <w:r>
        <w:t xml:space="preserve">On the Q1 call, CFO Andre Maciel said: we expect second quarter to have top line between minus 3% and minus 5%. This is a consequence of the Easter shift that we have explained a few times. In other words, Q1 borrowed demand from Q2 (earlier Easter + winter-storm pantry loading), so a weak Q2 top line is the expected payback — not new bad news.</w:t>
      </w:r>
    </w:p>
    <w:p>
      <w:r>
        <w:pict>
          <v:rect style="width:0;height:1.5pt" o:hralign="center" o:hrstd="t" o:hr="t"/>
        </w:pict>
      </w:r>
    </w:p>
    <w:bookmarkEnd w:id="12"/>
    <w:bookmarkStart w:id="18" w:name="what-actually-matters-on-this-print"/>
    <w:p>
      <w:pPr>
        <w:pStyle w:val="Heading2"/>
      </w:pPr>
      <w:r>
        <w:t xml:space="preserve">What actually matters on this print</w:t>
      </w:r>
    </w:p>
    <w:bookmarkStart w:id="13" w:name="Xaddc8345a54f4c4eb2b9547bfdf108c1a8c929e"/>
    <w:p>
      <w:pPr>
        <w:pStyle w:val="Heading3"/>
      </w:pPr>
      <w:r>
        <w:t xml:space="preserve">1) Is the market-share inflection holding?</w:t>
      </w:r>
    </w:p>
    <w:p>
      <w:pPr>
        <w:pStyle w:val="FirstParagraph"/>
      </w:pPr>
      <w:r>
        <w:t xml:space="preserve">This is the single most important tell. Q1 showed a genuine improvement: the total business last year held or gained share in only 21%. In the first quarter, that moved to 35%. And in March, that moved all the way up to 58%. The Taste Elevation platform (Heinz, sauces) improved even more sharply. On a mix-adjusted basis, last year, we started the year losing 90 bps of market share... exit last year losing 50 to 60 bps... And now year-to-date, we are at 30 bps. Watch whether that 30 bps continues to narrow as the ~$600M investment ramps.</w:t>
      </w:r>
    </w:p>
    <w:bookmarkEnd w:id="13"/>
    <w:bookmarkStart w:id="14" w:name="X2d1fd10bddd5311eaef15c8ae5e278a47a0c619"/>
    <w:p>
      <w:pPr>
        <w:pStyle w:val="Heading3"/>
      </w:pPr>
      <w:r>
        <w:t xml:space="preserve">2) The SNAP headwind ramps this quarter</w:t>
      </w:r>
    </w:p>
    <w:p>
      <w:pPr>
        <w:pStyle w:val="FirstParagraph"/>
      </w:pPr>
      <w:r>
        <w:t xml:space="preserve">Q2 is the first quarter that fully absorbs the SNAP hit. Management reiterated SNAP to be 100 bps headwind in the year starting in the second quarter and noted we definitely see an impact from SNAP already happening in February and March... they are already down in line, if not even a little more than expected. Q1 was cushioned by unexpected non-SNAP household strength — the question is whether that offset persists.</w:t>
      </w:r>
    </w:p>
    <w:bookmarkEnd w:id="14"/>
    <w:bookmarkStart w:id="15" w:name="X46edfaa0a67db80700b352495abfd36c7890ce1"/>
    <w:p>
      <w:pPr>
        <w:pStyle w:val="Heading3"/>
      </w:pPr>
      <w:r>
        <w:t xml:space="preserve">3) The investment spend — is it still accelerating?</w:t>
      </w:r>
    </w:p>
    <w:p>
      <w:pPr>
        <w:pStyle w:val="FirstParagraph"/>
      </w:pPr>
      <w:r>
        <w:t xml:space="preserve">The $600M reinvestment program is the core of the turnaround thesis. Marketing was 37% [higher] in the first quarter and full-year marketing is guided to at least 5.5% of revenue. Management has signaled willingness to spend</w:t>
      </w:r>
      <w:r>
        <w:t xml:space="preserve"> </w:t>
      </w:r>
      <w:r>
        <w:rPr>
          <w:i/>
          <w:iCs/>
        </w:rPr>
        <w:t xml:space="preserve">more</w:t>
      </w:r>
      <w:r>
        <w:t xml:space="preserve">, not less: the vast majority of our $600 million is still dry powder that is being deployed as we speak from now through the rest of the year. Any move to "harvest" spending to protect EPS would be read negatively as a loss of conviction.</w:t>
      </w:r>
    </w:p>
    <w:bookmarkEnd w:id="15"/>
    <w:bookmarkStart w:id="16" w:name="Xf0ad2d81adeb4c0117217aa508d4d1e0c61b731"/>
    <w:p>
      <w:pPr>
        <w:pStyle w:val="Heading3"/>
      </w:pPr>
      <w:r>
        <w:t xml:space="preserve">4) The gross-margin / inflation ramp into H2 — the key forward risk</w:t>
      </w:r>
    </w:p>
    <w:p>
      <w:pPr>
        <w:pStyle w:val="FirstParagraph"/>
      </w:pPr>
      <w:r>
        <w:t xml:space="preserve">This is the emerging bear point. Q1 gross margin beat, but ~40-50 bps was non-recurring, and the bigger issue is a building H2 cost wave tied to the Middle East conflict: we are now seeing mainly because of the conflict, inflation around energy and resins spiking up. We are well hedged in energy for the year. Resins, we are hedged through mid-Q3. Management expects in the third quarter to start to suffer the impact from that inflation. Given the macro backdrop (oil surging on the Iran conflict, gas above $4/gal), listen closely for updated inflation assumptions and any read-through to 2027 exit rates. First line of defense remains productivity, with only ~20% of inflation planned to be priced.</w:t>
      </w:r>
    </w:p>
    <w:bookmarkEnd w:id="16"/>
    <w:bookmarkStart w:id="17" w:name="X28a51ad754058e0371e2bb7db12c38925e75e43"/>
    <w:p>
      <w:pPr>
        <w:pStyle w:val="Heading3"/>
      </w:pPr>
      <w:r>
        <w:t xml:space="preserve">5) Does the full-year guide hold?</w:t>
      </w:r>
    </w:p>
    <w:p>
      <w:pPr>
        <w:pStyle w:val="FirstParagraph"/>
      </w:pPr>
      <w:r>
        <w:t xml:space="preserve">KHC reaffirmed its FY26 outlook at Q1 despite a beat, choosing prudence: We're not really calling for an acceleration. We got off to a very good start, and we're being prudent about the way we think about the rest of the year. The FY26 framework:</w:t>
      </w:r>
      <w:r>
        <w:t xml:space="preserve"> </w:t>
      </w:r>
      <w:r>
        <w:rPr>
          <w:b/>
          <w:bCs/>
        </w:rPr>
        <w:t xml:space="preserve">Organic net sales -1.5% to -3.5%; Constant-currency adjusted operating income -14% to -18%; Adjusted EPS</w:t>
      </w:r>
      <w:r>
        <w:rPr>
          <w:b/>
          <w:bCs/>
        </w:rPr>
        <w:t xml:space="preserve"> </w:t>
      </w:r>
      <m:oMath>
        <m:r>
          <m:t>1.98</m:t>
        </m:r>
        <m:r>
          <m:rPr>
            <m:sty m:val="p"/>
          </m:rPr>
          <m:t>–</m:t>
        </m:r>
      </m:oMath>
      <w:r>
        <w:rPr>
          <w:b/>
          <w:bCs/>
        </w:rPr>
        <w:t xml:space="preserve">2.10; FCF conversion ~100%.</w:t>
      </w:r>
      <w:r>
        <w:t xml:space="preserve"> </w:t>
      </w:r>
      <w:r>
        <w:t xml:space="preserve">A reaffirmation is the base case; a raise would be a bullish surprise given the H2 inflation setup, while any trim (likely blamed on inflation/consumer) would sting.</w:t>
      </w:r>
    </w:p>
    <w:p>
      <w:r>
        <w:pict>
          <v:rect style="width:0;height:1.5pt" o:hralign="center" o:hrstd="t" o:hr="t"/>
        </w:pict>
      </w:r>
    </w:p>
    <w:bookmarkEnd w:id="17"/>
    <w:bookmarkEnd w:id="18"/>
    <w:bookmarkStart w:id="19" w:name="q1-recap-the-baseline"/>
    <w:p>
      <w:pPr>
        <w:pStyle w:val="Heading2"/>
      </w:pPr>
      <w:r>
        <w:t xml:space="preserve">Q1 recap (the baseline)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w:t>
            </w:r>
          </w:p>
        </w:tc>
        <w:tc>
          <w:tcPr/>
          <w:p>
            <w:pPr>
              <w:pStyle w:val="Compact"/>
            </w:pPr>
            <w:r>
              <w:t xml:space="preserve">Y/Y</w:t>
            </w:r>
          </w:p>
        </w:tc>
      </w:tr>
      <w:tr>
        <w:tc>
          <w:tcPr/>
          <w:p>
            <w:pPr>
              <w:pStyle w:val="Compact"/>
            </w:pPr>
            <w:r>
              <w:t xml:space="preserve">Net sales</w:t>
            </w:r>
          </w:p>
        </w:tc>
        <w:tc>
          <w:tcPr/>
          <w:p>
            <w:pPr>
              <w:pStyle w:val="Compact"/>
            </w:pPr>
            <w:r>
              <w:t xml:space="preserve">$6.05B</w:t>
            </w:r>
          </w:p>
        </w:tc>
        <w:tc>
          <w:tcPr/>
          <w:p>
            <w:pPr>
              <w:pStyle w:val="Compact"/>
            </w:pPr>
            <w:r>
              <w:t xml:space="preserve">+0.8%</w:t>
            </w:r>
          </w:p>
        </w:tc>
      </w:tr>
      <w:tr>
        <w:tc>
          <w:tcPr/>
          <w:p>
            <w:pPr>
              <w:pStyle w:val="Compact"/>
            </w:pPr>
            <w:r>
              <w:t xml:space="preserve">Organic net sales</w:t>
            </w:r>
          </w:p>
        </w:tc>
        <w:tc>
          <w:tcPr/>
          <w:p>
            <w:pPr>
              <w:pStyle w:val="Compact"/>
            </w:pPr>
            <w:r>
              <w:t xml:space="preserve">—</w:t>
            </w:r>
          </w:p>
        </w:tc>
        <w:tc>
          <w:tcPr/>
          <w:p>
            <w:pPr>
              <w:pStyle w:val="Compact"/>
            </w:pPr>
            <w:r>
              <w:rPr>
                <w:b/>
                <w:bCs/>
              </w:rPr>
              <w:t xml:space="preserve">-0.4%</w:t>
            </w:r>
          </w:p>
        </w:tc>
      </w:tr>
      <w:tr>
        <w:tc>
          <w:tcPr/>
          <w:p>
            <w:pPr>
              <w:pStyle w:val="Compact"/>
            </w:pPr>
            <w:r>
              <w:t xml:space="preserve">Adj. gross margin</w:t>
            </w:r>
          </w:p>
        </w:tc>
        <w:tc>
          <w:tcPr/>
          <w:p>
            <w:pPr>
              <w:pStyle w:val="Compact"/>
            </w:pPr>
            <w:r>
              <w:t xml:space="preserve">34.1%</w:t>
            </w:r>
          </w:p>
        </w:tc>
        <w:tc>
          <w:tcPr/>
          <w:p>
            <w:pPr>
              <w:pStyle w:val="Compact"/>
            </w:pPr>
            <w:r>
              <w:t xml:space="preserve">-30 bps</w:t>
            </w:r>
          </w:p>
        </w:tc>
      </w:tr>
      <w:tr>
        <w:tc>
          <w:tcPr/>
          <w:p>
            <w:pPr>
              <w:pStyle w:val="Compact"/>
            </w:pPr>
            <w:r>
              <w:t xml:space="preserve">Adj. operating income</w:t>
            </w:r>
          </w:p>
        </w:tc>
        <w:tc>
          <w:tcPr/>
          <w:p>
            <w:pPr>
              <w:pStyle w:val="Compact"/>
            </w:pPr>
            <w:r>
              <w:t xml:space="preserve">$1.06B</w:t>
            </w:r>
          </w:p>
        </w:tc>
        <w:tc>
          <w:tcPr/>
          <w:p>
            <w:pPr>
              <w:pStyle w:val="Compact"/>
            </w:pPr>
            <w:r>
              <w:t xml:space="preserve">-11.8%</w:t>
            </w:r>
          </w:p>
        </w:tc>
      </w:tr>
      <w:tr>
        <w:tc>
          <w:tcPr/>
          <w:p>
            <w:pPr>
              <w:pStyle w:val="Compact"/>
            </w:pPr>
            <w:r>
              <w:t xml:space="preserve">Adjusted EPS</w:t>
            </w:r>
          </w:p>
        </w:tc>
        <w:tc>
          <w:tcPr/>
          <w:p>
            <w:pPr>
              <w:pStyle w:val="Compact"/>
            </w:pPr>
            <w:r>
              <w:t xml:space="preserve">$0.58</w:t>
            </w:r>
          </w:p>
        </w:tc>
        <w:tc>
          <w:tcPr/>
          <w:p>
            <w:pPr>
              <w:pStyle w:val="Compact"/>
            </w:pPr>
            <w:r>
              <w:t xml:space="preserve">-6.5%</w:t>
            </w:r>
          </w:p>
        </w:tc>
      </w:tr>
      <w:tr>
        <w:tc>
          <w:tcPr/>
          <w:p>
            <w:pPr>
              <w:pStyle w:val="Compact"/>
            </w:pPr>
            <w:r>
              <w:t xml:space="preserve">Free cash flow</w:t>
            </w:r>
          </w:p>
        </w:tc>
        <w:tc>
          <w:tcPr/>
          <w:p>
            <w:pPr>
              <w:pStyle w:val="Compact"/>
            </w:pPr>
            <w:r>
              <w:t xml:space="preserve">$766M</w:t>
            </w:r>
          </w:p>
        </w:tc>
        <w:tc>
          <w:tcPr/>
          <w:p>
            <w:pPr>
              <w:pStyle w:val="Compact"/>
            </w:pPr>
            <w:r>
              <w:t xml:space="preserve">+58.9%</w:t>
            </w:r>
          </w:p>
        </w:tc>
      </w:tr>
    </w:tbl>
    <w:p>
      <w:pPr>
        <w:pStyle w:val="BodyText"/>
      </w:pPr>
      <w:r>
        <w:t xml:space="preserve">Segment color: Emerging Markets remains the growth engine (organic +3.8%), International Developed roughly flat, and North America the drag (organic -1.1%). Cahillane framed the tone as encouraged by the strong start to the year, [but] we are reiterating our 2026 outlook. This reflects an operating environment that remains volatile, with increasing inflationary pressures and persistently low consumer sentiment.</w:t>
      </w:r>
    </w:p>
    <w:p>
      <w:r>
        <w:pict>
          <v:rect style="width:0;height:1.5pt" o:hralign="center" o:hrstd="t" o:hr="t"/>
        </w:pict>
      </w:r>
    </w:p>
    <w:bookmarkEnd w:id="19"/>
    <w:bookmarkStart w:id="20" w:name="the-strategic-overhang-the-paused-split"/>
    <w:p>
      <w:pPr>
        <w:pStyle w:val="Heading2"/>
      </w:pPr>
      <w:r>
        <w:t xml:space="preserve">The strategic overhang: the paused split</w:t>
      </w:r>
    </w:p>
    <w:p>
      <w:pPr>
        <w:pStyle w:val="FirstParagraph"/>
      </w:pPr>
      <w:r>
        <w:t xml:space="preserve">The biggest structural story hanging over the name is the</w:t>
      </w:r>
      <w:r>
        <w:t xml:space="preserve"> </w:t>
      </w:r>
      <w:r>
        <w:rPr>
          <w:b/>
          <w:bCs/>
        </w:rPr>
        <w:t xml:space="preserve">shelved break-up.</w:t>
      </w:r>
      <w:r>
        <w:t xml:space="preserve"> </w:t>
      </w:r>
      <w:r>
        <w:t xml:space="preserve">In September 2025, Kraft Heinz [announced it would] split into two companies, one focused on groceries and the other on sauces... [to] unlock shareholder value after the company failed to achieve expected growth since its 2015 merger. That plan drew skepticism from major shareholder Warren Buffett. The new CEO then hit pause: the new CEO paused the separation, concluding that stabilizing the core business should take priority after years of underinvestment.</w:t>
      </w:r>
    </w:p>
    <w:p>
      <w:pPr>
        <w:pStyle w:val="BodyText"/>
      </w:pPr>
      <w:r>
        <w:t xml:space="preserve">Management has framed the pause as a</w:t>
      </w:r>
      <w:r>
        <w:t xml:space="preserve"> </w:t>
      </w:r>
      <w:r>
        <w:rPr>
          <w:i/>
          <w:iCs/>
        </w:rPr>
        <w:t xml:space="preserve">positive</w:t>
      </w:r>
      <w:r>
        <w:t xml:space="preserve"> </w:t>
      </w:r>
      <w:r>
        <w:t xml:space="preserve">for execution — Pausing the split freed up lots of resources... and we turned our attention and the attention of this entire organization to get off to a strong start. Still, note that Q1 carried $56M of separation costs, and the guidance language keeps the door open to resuming the separation.</w:t>
      </w:r>
      <w:r>
        <w:t xml:space="preserve"> </w:t>
      </w:r>
      <w:r>
        <w:rPr>
          <w:b/>
          <w:bCs/>
        </w:rPr>
        <w:t xml:space="preserve">Any updated commentary on the split path (dead, delayed, or revivable) is a potential share-moving catalyst</w:t>
      </w:r>
      <w:r>
        <w:t xml:space="preserve"> </w:t>
      </w:r>
      <w:r>
        <w:t xml:space="preserve">— as is any color on the Berkshire Hathaway ~27% stake.</w:t>
      </w:r>
    </w:p>
    <w:p>
      <w:r>
        <w:pict>
          <v:rect style="width:0;height:1.5pt" o:hralign="center" o:hrstd="t" o:hr="t"/>
        </w:pict>
      </w:r>
    </w:p>
    <w:bookmarkEnd w:id="20"/>
    <w:bookmarkStart w:id="21" w:name="Xd558fda36d2940f72e724918ec8353cc16e3d77"/>
    <w:p>
      <w:pPr>
        <w:pStyle w:val="Heading2"/>
      </w:pPr>
      <w:r>
        <w:t xml:space="preserve">Other recent developments to have on the radar</w:t>
      </w:r>
    </w:p>
    <w:p>
      <w:pPr>
        <w:pStyle w:val="Compact"/>
        <w:numPr>
          <w:ilvl w:val="0"/>
          <w:numId w:val="1002"/>
        </w:numPr>
      </w:pPr>
      <w:r>
        <w:rPr>
          <w:b/>
          <w:bCs/>
        </w:rPr>
        <w:t xml:space="preserve">Disney partnership (announced 7/21):</w:t>
      </w:r>
      <w:r>
        <w:t xml:space="preserve"> </w:t>
      </w:r>
      <w:r>
        <w:t xml:space="preserve">A multiyear alliance placing Heinz, Philadelphia and Kraft Mac &amp; Cheese across Disney parks, cruises, streaming and products. The market shrugged — neither Disney nor Kraft Heinz stock moved much... with no financial terms disclosed, investors view the deal as a branding initiative rather than a near-term financial catalyst. Expect a qualitative question on the call; don't expect quantified guidance impact.</w:t>
      </w:r>
    </w:p>
    <w:p>
      <w:pPr>
        <w:pStyle w:val="Compact"/>
        <w:numPr>
          <w:ilvl w:val="0"/>
          <w:numId w:val="1002"/>
        </w:numPr>
      </w:pPr>
      <w:r>
        <w:rPr>
          <w:b/>
          <w:bCs/>
        </w:rPr>
        <w:t xml:space="preserve">Bylaw amendments (8-K, 7/27):</w:t>
      </w:r>
      <w:r>
        <w:t xml:space="preserve"> </w:t>
      </w:r>
      <w:r>
        <w:t xml:space="preserve">Kraft Heinz tightened shareholder-proposal rules and designated an exclusive forum — a governance/defensive move worth noting given the concentrated ownership and strategic flux.</w:t>
      </w:r>
    </w:p>
    <w:p>
      <w:r>
        <w:pict>
          <v:rect style="width:0;height:1.5pt" o:hralign="center" o:hrstd="t" o:hr="t"/>
        </w:pict>
      </w:r>
    </w:p>
    <w:bookmarkEnd w:id="21"/>
    <w:bookmarkStart w:id="22" w:name="capital-allocation"/>
    <w:p>
      <w:pPr>
        <w:pStyle w:val="Heading2"/>
      </w:pPr>
      <w:r>
        <w:t xml:space="preserve">Capital allocation</w:t>
      </w:r>
    </w:p>
    <w:p>
      <w:pPr>
        <w:pStyle w:val="FirstParagraph"/>
      </w:pPr>
      <w:r>
        <w:t xml:space="preserve">Cash generation remains the anchor of the story. FCF conversion hit 111% in Q1, and the dividend (~</w:t>
      </w:r>
      <m:oMath>
        <m:r>
          <m:t>474</m:t>
        </m:r>
        <m:r>
          <m:t>M</m:t>
        </m:r>
        <m:r>
          <m:rPr>
            <m:sty m:val="p"/>
          </m:rPr>
          <m:t>/</m:t>
        </m:r>
        <m:r>
          <m:t>q</m:t>
        </m:r>
        <m:r>
          <m:t>u</m:t>
        </m:r>
        <m:r>
          <m:t>a</m:t>
        </m:r>
        <m:r>
          <m:t>r</m:t>
        </m:r>
        <m:r>
          <m:t>t</m:t>
        </m:r>
        <m:r>
          <m:t>e</m:t>
        </m:r>
        <m:r>
          <m:t>r</m:t>
        </m:r>
        <m:r>
          <m:rPr>
            <m:sty m:val="p"/>
          </m:rPr>
          <m:t>,</m:t>
        </m:r>
        <m:r>
          <m:t> </m:t>
        </m:r>
        <m:r>
          <m:t>6</m:t>
        </m:r>
      </m:oMath>
      <w:r>
        <w:t xml:space="preserve">1.5B authorization in Q1); instead, the near-term priority is</w:t>
      </w:r>
      <w:r>
        <w:t xml:space="preserve"> </w:t>
      </w:r>
      <w:r>
        <w:rPr>
          <w:b/>
          <w:bCs/>
        </w:rPr>
        <w:t xml:space="preserve">debt reduction/liability management</w:t>
      </w:r>
      <w:r>
        <w:t xml:space="preserve"> </w:t>
      </w:r>
      <w:r>
        <w:t xml:space="preserve">— you will see us now in the second quarter, paying down debt... and we are strongly considering — anticipating paying back part of the debt that is maturing next year. Watch for updated interest-expense guidance (FY guide currently ~$920M).</w:t>
      </w:r>
    </w:p>
    <w:p>
      <w:r>
        <w:pict>
          <v:rect style="width:0;height:1.5pt" o:hralign="center" o:hrstd="t" o:hr="t"/>
        </w:pict>
      </w:r>
    </w:p>
    <w:bookmarkEnd w:id="22"/>
    <w:bookmarkStart w:id="23" w:name="bull-vs-bear-into-the-print"/>
    <w:p>
      <w:pPr>
        <w:pStyle w:val="Heading2"/>
      </w:pPr>
      <w:r>
        <w:t xml:space="preserve">Bull vs. bear into the print</w:t>
      </w:r>
    </w:p>
    <w:p>
      <w:pPr>
        <w:pStyle w:val="FirstParagraph"/>
      </w:pPr>
      <w:r>
        <w:rPr>
          <w:b/>
          <w:bCs/>
        </w:rPr>
        <w:t xml:space="preserve">Bull case:</w:t>
      </w:r>
      <w:r>
        <w:t xml:space="preserve"> </w:t>
      </w:r>
      <w:r>
        <w:t xml:space="preserve">Share losses keep narrowing, the $600M reinvestment shows visible ROI (PowerMac, Capri Sun Hydrate, Lunchables, Philadelphia Lactose-Free), FCF stays strong, the ~6% dividend is safe, and the stock is cheap with washed-out sentiment. A guide reaffirmation + improving share = the market rewards "less bad."</w:t>
      </w:r>
    </w:p>
    <w:p>
      <w:pPr>
        <w:pStyle w:val="BodyText"/>
      </w:pPr>
      <w:r>
        <w:rPr>
          <w:b/>
          <w:bCs/>
        </w:rPr>
        <w:t xml:space="preserve">Bear case:</w:t>
      </w:r>
      <w:r>
        <w:t xml:space="preserve"> </w:t>
      </w:r>
      <w:r>
        <w:t xml:space="preserve">The Q2 volume decline (~-4%) confirms the consumer/private-label pressure is structural, SNAP bites harder than modeled, and — most importantly — the H2 energy/resin inflation wave forces a downbeat 2027 setup or a margin-guide trim. The Disney deal and paused split read as management searching for a narrative rather than delivering numbers.</w:t>
      </w:r>
    </w:p>
    <w:p>
      <w:pPr>
        <w:pStyle w:val="BodyText"/>
      </w:pPr>
      <w:r>
        <w:rPr>
          <w:b/>
          <w:bCs/>
        </w:rPr>
        <w:t xml:space="preserve">Bottom line:</w:t>
      </w:r>
      <w:r>
        <w:t xml:space="preserve"> </w:t>
      </w:r>
      <w:r>
        <w:t xml:space="preserve">Headline numbers will be weak and largely expected. The stock's reaction should hinge on (1) the market-share trend line, (2) whether management sustains — or blinks on — the reinvestment, (3) the inflation/margin outlook for H2 and into 2027, and (4) any fresh word on the split. Given the recent rally into the print, the bar has risen from where it sat in the spring.</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2026-08-05T00:28:36Z</dcterms:created>
  <dcterms:modified xsi:type="dcterms:W3CDTF">2026-08-05T00:28:36Z</dcterms:modified>
</cp:coreProperties>
</file>

<file path=docProps/custom.xml><?xml version="1.0" encoding="utf-8"?>
<Properties xmlns="http://schemas.openxmlformats.org/officeDocument/2006/custom-properties" xmlns:vt="http://schemas.openxmlformats.org/officeDocument/2006/docPropsVTypes"/>
</file>