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hc-earnings-predictions--2026-08-05"/>
    <w:p>
      <w:pPr>
        <w:pStyle w:val="Heading1"/>
      </w:pPr>
      <w:r>
        <w:t xml:space="preserve">KHC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Net Sales Growth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~-2.5% vs. cons -3.5%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~$0.57 vs. cons $0.53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~$1.31B vs. cons $1.28B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Sales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~-2.5% midpoint (range -1.5% to -3.5%) vs. cons -2.6%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2.04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(</m:t>
              </m:r>
            </m:oMath>
            <w:r>
              <w:t xml:space="preserve">1.98-$2.10) vs. cons $2.03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Gross Margin / Inflation headwind commentary (resin &amp; energy hedges rolling off mid-Q3)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~75bps FY headwind vs. cons ~50bps previously modeled (FY2026/H2)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likely headline beat driven by continued share-trend improvement, the stock enters the print already stretched relative to sell-side targets (</w:t>
            </w:r>
            <m:oMath>
              <m:r>
                <m:t>23</m:t>
              </m:r>
              <m:r>
                <m:rPr>
                  <m:sty m:val="p"/>
                </m:rPr>
                <m:t>−</m:t>
              </m:r>
              <m:r>
                <m:t>25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26.66), pricing in much of the 'Cahillane turnaround' optimism. Management's own commentary flags rising resin/energy costs after hedges roll off mid-Q3 and only partial pricing pass-through, implying implicit downward pressure on H2/FY EBITDA and EPS math even if Q2 itself beats. As analysts digest this out-period inflation risk and the unresolved split/Berkshire overhang over the following days, expect price-target and estimate trims to compound the initial muted-to-negative reaction rather than reverse it, producing follow-through weakness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2026-08-05T00:29:48Z</dcterms:created>
  <dcterms:modified xsi:type="dcterms:W3CDTF">2026-08-05T00:29:48Z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