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enough to write a comprehensive preview.# Kraft Heinz (KHC) — Q2 2026 Earnings Preview</w:t>
      </w:r>
      <w:r>
        <w:t xml:space="preserve"> </w:t>
      </w:r>
      <w:r>
        <w:rPr>
          <w:b/>
          <w:bCs/>
        </w:rPr>
        <w:t xml:space="preserve">Report Date:</w:t>
      </w:r>
      <w:r>
        <w:t xml:space="preserve"> </w:t>
      </w:r>
      <w:r>
        <w:t xml:space="preserve">Wednesday, August 5, 2026, before market open</w:t>
      </w:r>
      <w:r>
        <w:t xml:space="preserve"> </w:t>
      </w:r>
      <w:r>
        <w:rPr>
          <w:b/>
          <w:bCs/>
        </w:rPr>
        <w:t xml:space="preserve">Prior Close:</w:t>
      </w:r>
      <w:r>
        <w:t xml:space="preserve"> </w:t>
      </w:r>
      <w:r>
        <w:t xml:space="preserve">~</w:t>
      </w:r>
      <m:oMath>
        <m:r>
          <m:t>26.66</m:t>
        </m:r>
        <m:r>
          <m:rPr>
            <m:sty m:val="p"/>
          </m:rPr>
          <m:t>|</m:t>
        </m:r>
        <m:r>
          <m:rPr>
            <m:sty m:val="p"/>
          </m:rPr>
          <m:t>*</m:t>
        </m:r>
        <m:r>
          <m:rPr>
            <m:sty m:val="p"/>
          </m:rPr>
          <m:t>*</m:t>
        </m:r>
        <m:r>
          <m:t>S</m:t>
        </m:r>
        <m:r>
          <m:t>t</m:t>
        </m:r>
        <m:r>
          <m:t>o</m:t>
        </m:r>
        <m:r>
          <m:t>c</m:t>
        </m:r>
        <m:r>
          <m:t>k</m:t>
        </m:r>
        <m:r>
          <m:t>t</m:t>
        </m:r>
        <m:r>
          <m:t>r</m:t>
        </m:r>
        <m:r>
          <m:t>e</m:t>
        </m:r>
        <m:r>
          <m:t>n</m:t>
        </m:r>
        <m:r>
          <m:t>d</m:t>
        </m:r>
        <m:r>
          <m:t>Y</m:t>
        </m:r>
        <m:r>
          <m:t>T</m:t>
        </m:r>
        <m:r>
          <m:t>D</m:t>
        </m:r>
        <m:r>
          <m:rPr>
            <m:sty m:val="p"/>
          </m:rPr>
          <m:t>:</m:t>
        </m:r>
        <m:r>
          <m:rPr>
            <m:sty m:val="p"/>
          </m:rPr>
          <m:t>*</m:t>
        </m:r>
        <m:r>
          <m:rPr>
            <m:sty m:val="p"/>
          </m:rPr>
          <m:t>*</m:t>
        </m:r>
        <m:r>
          <m:t>r</m:t>
        </m:r>
        <m:r>
          <m:t>o</m:t>
        </m:r>
        <m:r>
          <m:t>u</m:t>
        </m:r>
        <m:r>
          <m:t>g</m:t>
        </m:r>
        <m:r>
          <m:t>h</m:t>
        </m:r>
        <m:r>
          <m:t>l</m:t>
        </m:r>
        <m:r>
          <m:t>y</m:t>
        </m:r>
        <m:r>
          <m:t>f</m:t>
        </m:r>
        <m:r>
          <m:t>l</m:t>
        </m:r>
        <m:r>
          <m:t>a</m:t>
        </m:r>
        <m:r>
          <m:t>t</m:t>
        </m:r>
        <m:r>
          <m:rPr>
            <m:sty m:val="p"/>
          </m:rPr>
          <m:t>−</m:t>
        </m:r>
        <m:r>
          <m:t>t</m:t>
        </m:r>
        <m:r>
          <m:t>o</m:t>
        </m:r>
        <m:r>
          <m:rPr>
            <m:sty m:val="p"/>
          </m:rPr>
          <m:t>−</m:t>
        </m:r>
        <m:r>
          <m:t>u</m:t>
        </m:r>
        <m:r>
          <m:t>p</m:t>
        </m:r>
        <m:r>
          <m:t>d</m:t>
        </m:r>
        <m:r>
          <m:t>e</m:t>
        </m:r>
        <m:r>
          <m:t>s</m:t>
        </m:r>
        <m:r>
          <m:t>p</m:t>
        </m:r>
        <m:r>
          <m:t>i</m:t>
        </m:r>
        <m:r>
          <m:t>t</m:t>
        </m:r>
        <m:r>
          <m:t>e</m:t>
        </m:r>
        <m:r>
          <m:t>a</m:t>
        </m:r>
        <m:r>
          <m:t>v</m:t>
        </m:r>
        <m:r>
          <m:t>o</m:t>
        </m:r>
        <m:r>
          <m:t>l</m:t>
        </m:r>
        <m:r>
          <m:t>a</m:t>
        </m:r>
        <m:r>
          <m:t>t</m:t>
        </m:r>
        <m:r>
          <m:t>i</m:t>
        </m:r>
        <m:r>
          <m:t>l</m:t>
        </m:r>
        <m:r>
          <m:t>e</m:t>
        </m:r>
        <m:r>
          <m:t>s</m:t>
        </m:r>
        <m:r>
          <m:t>p</m:t>
        </m:r>
        <m:r>
          <m:t>r</m:t>
        </m:r>
        <m:r>
          <m:t>i</m:t>
        </m:r>
        <m:r>
          <m:t>n</m:t>
        </m:r>
        <m:r>
          <m:t>g</m:t>
        </m:r>
        <m:r>
          <m:rPr>
            <m:sty m:val="p"/>
          </m:rPr>
          <m:t>(</m:t>
        </m:r>
        <m:r>
          <m:t>f</m:t>
        </m:r>
        <m:r>
          <m:t>r</m:t>
        </m:r>
        <m:r>
          <m:t>o</m:t>
        </m:r>
        <m:r>
          <m:t>m</m:t>
        </m:r>
        <m:r>
          <m:t> </m:t>
        </m:r>
      </m:oMath>
      <w:r>
        <w:t xml:space="preserve">24.39 in early January down to ~</w:t>
      </w:r>
      <m:oMath>
        <m:r>
          <m:t>21.20</m:t>
        </m:r>
        <m:r>
          <m:t>i</m:t>
        </m:r>
        <m:r>
          <m:t>n</m:t>
        </m:r>
        <m:r>
          <m:t>l</m:t>
        </m:r>
        <m:r>
          <m:t>a</m:t>
        </m:r>
        <m:r>
          <m:t>t</m:t>
        </m:r>
        <m:r>
          <m:t>e</m:t>
        </m:r>
        <m:r>
          <m:t>M</m:t>
        </m:r>
        <m:r>
          <m:t>a</m:t>
        </m:r>
        <m:r>
          <m:t>r</m:t>
        </m:r>
        <m:r>
          <m:t>c</m:t>
        </m:r>
        <m:r>
          <m:t>h</m:t>
        </m:r>
        <m:r>
          <m:rPr>
            <m:sty m:val="p"/>
          </m:rPr>
          <m:t>,</m:t>
        </m:r>
        <m:r>
          <m:t>t</m:t>
        </m:r>
        <m:r>
          <m:t>h</m:t>
        </m:r>
        <m:r>
          <m:t>e</m:t>
        </m:r>
        <m:r>
          <m:t>n</m:t>
        </m:r>
        <m:r>
          <m:t>a</m:t>
        </m:r>
        <m:r>
          <m:t>r</m:t>
        </m:r>
        <m:r>
          <m:t>a</m:t>
        </m:r>
        <m:r>
          <m:t>l</m:t>
        </m:r>
        <m:r>
          <m:t>l</m:t>
        </m:r>
        <m:r>
          <m:t>y</m:t>
        </m:r>
        <m:r>
          <m:t>t</m:t>
        </m:r>
        <m:r>
          <m:t>o</m:t>
        </m:r>
        <m:r>
          <m:t>t</m:t>
        </m:r>
        <m:r>
          <m:t>h</m:t>
        </m:r>
        <m:r>
          <m:t>e</m:t>
        </m:r>
        <m:r>
          <m:t>m</m:t>
        </m:r>
        <m:r>
          <m:t>i</m:t>
        </m:r>
        <m:r>
          <m:t>d</m:t>
        </m:r>
        <m:r>
          <m:rPr>
            <m:sty m:val="p"/>
          </m:rPr>
          <m:t>/</m:t>
        </m:r>
        <m:r>
          <m:t>u</m:t>
        </m:r>
        <m:r>
          <m:t>p</m:t>
        </m:r>
        <m:r>
          <m:t>p</m:t>
        </m:r>
        <m:r>
          <m:t>e</m:t>
        </m:r>
        <m:r>
          <m:t>r</m:t>
        </m:r>
        <m:r>
          <m:rPr>
            <m:sty m:val="p"/>
          </m:rPr>
          <m:t>−</m:t>
        </m:r>
      </m:oMath>
      <w:r>
        <w:t xml:space="preserve">20s heading into the print)</w:t>
      </w:r>
    </w:p>
    <w:bookmarkStart w:id="9" w:name="the-setup"/>
    <w:p>
      <w:pPr>
        <w:pStyle w:val="Heading2"/>
      </w:pPr>
      <w:r>
        <w:t xml:space="preserve">The Setup</w:t>
      </w:r>
    </w:p>
    <w:p>
      <w:pPr>
        <w:pStyle w:val="FirstParagraph"/>
      </w:pPr>
      <w:r>
        <w:t xml:space="preserve">KHC goes into this print in the middle of the messiest, most closely watched turnaround story in packaged food. In December 2025 the company tapped former Kellanova/Kellogg CEO Steve Cahillane to replace Carlos Abrams-Rivera, and in February 2026 Cahillane made his first big call: he</w:t>
      </w:r>
      <w:r>
        <w:t xml:space="preserve"> </w:t>
      </w:r>
      <w:r>
        <w:rPr>
          <w:b/>
          <w:bCs/>
        </w:rPr>
        <w:t xml:space="preserve">paused the company's planned split into two independent companies</w:t>
      </w:r>
      <w:r>
        <w:t xml:space="preserve"> </w:t>
      </w:r>
      <w:r>
        <w:t xml:space="preserve">(a global "Taste Elevation" business and a North America "Grocery" business that had been announced back in September 2025) in order to redirect resources into fixing the core business first. That pivot — funded by an incremental</w:t>
      </w:r>
      <w:r>
        <w:t xml:space="preserve"> </w:t>
      </w:r>
      <w:r>
        <w:rPr>
          <w:b/>
          <w:bCs/>
        </w:rPr>
        <w:t xml:space="preserve">$600 million</w:t>
      </w:r>
      <w:r>
        <w:t xml:space="preserve"> </w:t>
      </w:r>
      <w:r>
        <w:t xml:space="preserve">in marketing, sales, R&amp;D and product-superiority investment — is the central narrative investors will be grading tomorrow.</w:t>
      </w:r>
    </w:p>
    <w:p>
      <w:pPr>
        <w:pStyle w:val="BodyText"/>
      </w:pPr>
      <w:r>
        <w:t xml:space="preserve">Sentiment context: the Street is broadly cautious on food staples names, but has grown</w:t>
      </w:r>
      <w:r>
        <w:t xml:space="preserve"> </w:t>
      </w:r>
      <w:r>
        <w:rPr>
          <w:b/>
          <w:bCs/>
        </w:rPr>
        <w:t xml:space="preserve">more constructive on KHC's turnaround under the new management team</w:t>
      </w:r>
      <w:r>
        <w:t xml:space="preserve"> </w:t>
      </w:r>
      <w:r>
        <w:t xml:space="preserve">heading into this print, even as the headline numbers are expected to look ugly again.</w:t>
      </w:r>
    </w:p>
    <w:bookmarkEnd w:id="9"/>
    <w:bookmarkStart w:id="10" w:name="what-wall-street-is-modeling-for-q2"/>
    <w:p>
      <w:pPr>
        <w:pStyle w:val="Heading2"/>
      </w:pPr>
      <w:r>
        <w:t xml:space="preserve">What Wall Street Is Modeling for Q2</w:t>
      </w:r>
    </w:p>
    <w:p>
      <w:pPr>
        <w:pStyle w:val="Compact"/>
        <w:numPr>
          <w:ilvl w:val="0"/>
          <w:numId w:val="1001"/>
        </w:numPr>
      </w:pPr>
      <w:r>
        <w:rPr>
          <w:b/>
          <w:bCs/>
        </w:rPr>
        <w:t xml:space="preserve">Organic net sales:</w:t>
      </w:r>
      <w:r>
        <w:t xml:space="preserve"> </w:t>
      </w:r>
      <w:r>
        <w:t xml:space="preserve">down ~3.5% (with volume down ~4.1%)</w:t>
      </w:r>
    </w:p>
    <w:p>
      <w:pPr>
        <w:pStyle w:val="Compact"/>
        <w:numPr>
          <w:ilvl w:val="0"/>
          <w:numId w:val="1001"/>
        </w:numPr>
      </w:pPr>
      <w:r>
        <w:rPr>
          <w:b/>
          <w:bCs/>
        </w:rPr>
        <w:t xml:space="preserve">Adjusted EBITDA:</w:t>
      </w:r>
      <w:r>
        <w:t xml:space="preserve"> </w:t>
      </w:r>
      <w:r>
        <w:t xml:space="preserve">down ~16% to ~$1.28 billion</w:t>
      </w:r>
    </w:p>
    <w:p>
      <w:pPr>
        <w:pStyle w:val="Compact"/>
        <w:numPr>
          <w:ilvl w:val="0"/>
          <w:numId w:val="1001"/>
        </w:numPr>
      </w:pPr>
      <w:r>
        <w:rPr>
          <w:b/>
          <w:bCs/>
        </w:rPr>
        <w:t xml:space="preserve">Adjusted EPS:</w:t>
      </w:r>
      <w:r>
        <w:t xml:space="preserve"> </w:t>
      </w:r>
      <w:r>
        <w:t xml:space="preserve">down ~23% to ~$0.53 (vs. $0.69 a year ago)</w:t>
      </w:r>
    </w:p>
    <w:p>
      <w:pPr>
        <w:pStyle w:val="Compact"/>
        <w:numPr>
          <w:ilvl w:val="0"/>
          <w:numId w:val="1001"/>
        </w:numPr>
      </w:pPr>
      <w:r>
        <w:rPr>
          <w:b/>
          <w:bCs/>
        </w:rPr>
        <w:t xml:space="preserve">Revenue:</w:t>
      </w:r>
      <w:r>
        <w:t xml:space="preserve"> </w:t>
      </w:r>
      <w:r>
        <w:t xml:space="preserve">roughly $6.13 billion</w:t>
      </w:r>
    </w:p>
    <w:p>
      <w:pPr>
        <w:pStyle w:val="FirstParagraph"/>
      </w:pPr>
      <w:r>
        <w:t xml:space="preserve">These declines are largely pre-telegraphed by management. On the Q1 call, CFO Andre Maciel guided Q2 top line to</w:t>
      </w:r>
      <w:r>
        <w:t xml:space="preserve"> </w:t>
      </w:r>
      <w:r>
        <w:rPr>
          <w:b/>
          <w:bCs/>
        </w:rPr>
        <w:t xml:space="preserve">-3% to -5%</w:t>
      </w:r>
      <w:r>
        <w:t xml:space="preserve">, explicitly flagging the Easter timing shift (Easter fell in Q1 this year, pulling forward some seasonal benefit) as a headwind, plus an incremental</w:t>
      </w:r>
      <w:r>
        <w:t xml:space="preserve"> </w:t>
      </w:r>
      <w:r>
        <w:rPr>
          <w:b/>
          <w:bCs/>
        </w:rPr>
        <w:t xml:space="preserve">100 bps SNAP-related drag</w:t>
      </w:r>
      <w:r>
        <w:t xml:space="preserve"> </w:t>
      </w:r>
      <w:r>
        <w:t xml:space="preserve">that was expected to become "more pronounced" in Q2 sell-out data after first showing up in February/March SNAP transaction trends. Management also guided gross margin to face a</w:t>
      </w:r>
      <w:r>
        <w:t xml:space="preserve"> </w:t>
      </w:r>
      <w:r>
        <w:rPr>
          <w:b/>
          <w:bCs/>
        </w:rPr>
        <w:t xml:space="preserve">25–75 bps full-year headwind</w:t>
      </w:r>
      <w:r>
        <w:t xml:space="preserve">, with early-year commodity/procurement tailwinds (cheese, byproduct sales) expected to fade.</w:t>
      </w:r>
    </w:p>
    <w:bookmarkEnd w:id="10"/>
    <w:bookmarkStart w:id="11" w:name="q1-recap-a-beat-but-with-caveats"/>
    <w:p>
      <w:pPr>
        <w:pStyle w:val="Heading2"/>
      </w:pPr>
      <w:r>
        <w:t xml:space="preserve">Q1 Recap: A Beat, But With Caveats</w:t>
      </w:r>
    </w:p>
    <w:p>
      <w:pPr>
        <w:pStyle w:val="FirstParagraph"/>
      </w:pPr>
      <w:r>
        <w:t xml:space="preserve">Q1 2026 came in better than feared: organic net sales fell just</w:t>
      </w:r>
      <w:r>
        <w:t xml:space="preserve"> </w:t>
      </w:r>
      <w:r>
        <w:rPr>
          <w:b/>
          <w:bCs/>
        </w:rPr>
        <w:t xml:space="preserve">0.4%</w:t>
      </w:r>
      <w:r>
        <w:t xml:space="preserve"> </w:t>
      </w:r>
      <w:r>
        <w:t xml:space="preserve">versus a Street estimate near -2.7% to -2.85%, and adjusted EPS of</w:t>
      </w:r>
      <w:r>
        <w:t xml:space="preserve"> </w:t>
      </w:r>
      <m:oMath>
        <m:r>
          <m:t>0.58</m:t>
        </m:r>
        <m:r>
          <m:t>b</m:t>
        </m:r>
        <m:r>
          <m:t>e</m:t>
        </m:r>
        <m:r>
          <m:t>a</m:t>
        </m:r>
        <m:r>
          <m:t>t</m:t>
        </m:r>
        <m:r>
          <m:t>c</m:t>
        </m:r>
        <m:r>
          <m:t>o</m:t>
        </m:r>
        <m:r>
          <m:t>n</m:t>
        </m:r>
        <m:r>
          <m:t>s</m:t>
        </m:r>
        <m:r>
          <m:t>e</m:t>
        </m:r>
        <m:r>
          <m:t>n</m:t>
        </m:r>
        <m:r>
          <m:t>s</m:t>
        </m:r>
        <m:r>
          <m:t>u</m:t>
        </m:r>
        <m:r>
          <m:t>s</m:t>
        </m:r>
        <m:r>
          <m:rPr>
            <m:sty m:val="p"/>
          </m:rPr>
          <m:t>(</m:t>
        </m:r>
        <m:r>
          <m:t> </m:t>
        </m:r>
      </m:oMath>
      <w:r>
        <w:t xml:space="preserve">0.50) by 8 cents. Reported net sales rose 0.8% to $6.0 billion, gross profit margin expanded 230 bps to 36.7% on GAAP basis, and free cash flow surged 58.9% to $766 million (111% FCF conversion). Management was candid that some of the beat was</w:t>
      </w:r>
      <w:r>
        <w:t xml:space="preserve"> </w:t>
      </w:r>
      <w:r>
        <w:rPr>
          <w:b/>
          <w:bCs/>
        </w:rPr>
        <w:t xml:space="preserve">timing-driven</w:t>
      </w:r>
      <w:r>
        <w:t xml:space="preserve"> </w:t>
      </w:r>
      <w:r>
        <w:t xml:space="preserve">— the Easter shift and winter-storm pantry loading flattered results — but also pointed to genuine share-trend improvement: total-portfolio share performance (holding/gaining share) moved from 21% of the business in 2025 to 35% in Q1 and 58% in March, with the "Taste Elevation" priority platforms improving from 24% to 81%, then 87% by March exit. Market-share losses (mix-adjusted) narrowed from -90 bps at the 2025 trough to -30 bps year-to-date. Full-year guidance was reaffirmed at that time.</w:t>
      </w:r>
    </w:p>
    <w:bookmarkEnd w:id="11"/>
    <w:bookmarkStart w:id="12" w:name="X2e52043ce73021c502c2f093a7119f60802c9f3"/>
    <w:p>
      <w:pPr>
        <w:pStyle w:val="Heading2"/>
      </w:pPr>
      <w:r>
        <w:t xml:space="preserve">Current FY2026 Guidance (Reaffirmed in May)</w:t>
      </w:r>
    </w:p>
    <w:p>
      <w:pPr>
        <w:pStyle w:val="Compact"/>
        <w:numPr>
          <w:ilvl w:val="0"/>
          <w:numId w:val="1002"/>
        </w:numPr>
      </w:pPr>
      <w:r>
        <w:t xml:space="preserve">Organic Net Sales:</w:t>
      </w:r>
      <w:r>
        <w:t xml:space="preserve"> </w:t>
      </w:r>
      <w:r>
        <w:rPr>
          <w:b/>
          <w:bCs/>
        </w:rPr>
        <w:t xml:space="preserve">-1.5% to -3.5%</w:t>
      </w:r>
      <w:r>
        <w:t xml:space="preserve"> </w:t>
      </w:r>
      <w:r>
        <w:t xml:space="preserve">(includes ~100 bps SNAP headwind)</w:t>
      </w:r>
    </w:p>
    <w:p>
      <w:pPr>
        <w:pStyle w:val="Compact"/>
        <w:numPr>
          <w:ilvl w:val="0"/>
          <w:numId w:val="1002"/>
        </w:numPr>
      </w:pPr>
      <w:r>
        <w:t xml:space="preserve">Constant-Currency Adjusted Operating Income:</w:t>
      </w:r>
      <w:r>
        <w:t xml:space="preserve"> </w:t>
      </w:r>
      <w:r>
        <w:rPr>
          <w:b/>
          <w:bCs/>
        </w:rPr>
        <w:t xml:space="preserve">-14% to -18%</w:t>
      </w:r>
      <w:r>
        <w:t xml:space="preserve"> </w:t>
      </w:r>
      <w:r>
        <w:t xml:space="preserve">(includes the $600M investment plus a ~300 bps headwind from lapping lower 2025 variable compensation)</w:t>
      </w:r>
    </w:p>
    <w:p>
      <w:pPr>
        <w:pStyle w:val="Compact"/>
        <w:numPr>
          <w:ilvl w:val="0"/>
          <w:numId w:val="1002"/>
        </w:numPr>
      </w:pPr>
      <w:r>
        <w:t xml:space="preserve">Adjusted EPS:</w:t>
      </w:r>
      <w:r>
        <w:t xml:space="preserve"> </w:t>
      </w:r>
      <m:oMath>
        <m:r>
          <m:t>1.98</m:t>
        </m:r>
        <m:r>
          <m:rPr>
            <m:sty m:val="p"/>
          </m:rPr>
          <m:t>–</m:t>
        </m:r>
      </m:oMath>
      <w:r>
        <w:rPr>
          <w:b/>
          <w:bCs/>
        </w:rPr>
        <w:t xml:space="preserve">2.10</w:t>
      </w:r>
    </w:p>
    <w:p>
      <w:pPr>
        <w:pStyle w:val="Compact"/>
        <w:numPr>
          <w:ilvl w:val="0"/>
          <w:numId w:val="1002"/>
        </w:numPr>
      </w:pPr>
      <w:r>
        <w:t xml:space="preserve">Free Cash Flow Conversion:</w:t>
      </w:r>
      <w:r>
        <w:t xml:space="preserve"> </w:t>
      </w:r>
      <w:r>
        <w:rPr>
          <w:b/>
          <w:bCs/>
        </w:rPr>
        <w:t xml:space="preserve">~100%</w:t>
      </w:r>
    </w:p>
    <w:bookmarkEnd w:id="12"/>
    <w:bookmarkStart w:id="13" w:name="key-things-to-watch-on-tomorrows-call"/>
    <w:p>
      <w:pPr>
        <w:pStyle w:val="Heading2"/>
      </w:pPr>
      <w:r>
        <w:t xml:space="preserve">Key Things to Watch on Tomorrow's Call</w:t>
      </w:r>
    </w:p>
    <w:p>
      <w:pPr>
        <w:pStyle w:val="FirstParagraph"/>
      </w:pPr>
      <w:r>
        <w:rPr>
          <w:b/>
          <w:bCs/>
        </w:rPr>
        <w:t xml:space="preserve">1. Is the market-share momentum holding, or was Q1 a sugar high?</w:t>
      </w:r>
      <w:r>
        <w:t xml:space="preserve"> </w:t>
      </w:r>
      <w:r>
        <w:t xml:space="preserve">The most important debate is whether the improving share trends (driven by the marketing step-up — Q1 marketing spend was up 37% YoY, guided to at least 5.5% of revenue / +20% for the year) are durable or were flattered by Easter/weather timing. Watch for updated share-mix data and commentary on early reads for launches like PowerMac &amp; Cheese (35,000 accounts at sell-in in April), Capri Sun Hydrate, the Lunchables renovation, and Ore-Ida innovation.</w:t>
      </w:r>
    </w:p>
    <w:p>
      <w:pPr>
        <w:pStyle w:val="BodyText"/>
      </w:pPr>
      <w:r>
        <w:rPr>
          <w:b/>
          <w:bCs/>
        </w:rPr>
        <w:t xml:space="preserve">2. Inflation is turning against the company into H2.</w:t>
      </w:r>
      <w:r>
        <w:t xml:space="preserve"> </w:t>
      </w:r>
      <w:r>
        <w:t xml:space="preserve">Management flagged that geopolitical conflict (the Middle East/Iran) has pushed</w:t>
      </w:r>
      <w:r>
        <w:t xml:space="preserve"> </w:t>
      </w:r>
      <w:r>
        <w:rPr>
          <w:b/>
          <w:bCs/>
        </w:rPr>
        <w:t xml:space="preserve">energy and resin costs higher</w:t>
      </w:r>
      <w:r>
        <w:t xml:space="preserve"> </w:t>
      </w:r>
      <w:r>
        <w:t xml:space="preserve">than the ~4% inflation originally guided for the year. The company is hedged on energy for the full year and on resins only through mid-Q3 — meaning</w:t>
      </w:r>
      <w:r>
        <w:t xml:space="preserve"> </w:t>
      </w:r>
      <w:r>
        <w:rPr>
          <w:b/>
          <w:bCs/>
        </w:rPr>
        <w:t xml:space="preserve">Q3 is the quarter where new inflation could start biting</w:t>
      </w:r>
      <w:r>
        <w:t xml:space="preserve">, with pricing (management targets taking only ~half of input inflation in price, leaning more on productivity given consumer stress) as the offset. Any commentary on resin/energy hedge rolls and pricing plans for late 2026/2027 will matter for the read-through to next year.</w:t>
      </w:r>
    </w:p>
    <w:p>
      <w:pPr>
        <w:pStyle w:val="BodyText"/>
      </w:pPr>
      <w:r>
        <w:rPr>
          <w:b/>
          <w:bCs/>
        </w:rPr>
        <w:t xml:space="preserve">3. SNAP and low-income consumer stress.</w:t>
      </w:r>
      <w:r>
        <w:t xml:space="preserve"> </w:t>
      </w:r>
      <w:r>
        <w:t xml:space="preserve">SNAP-exposed households were already pressuring volumes in Q1, partially offset by strength in non-SNAP households — a dynamic management wasn't sure would persist. Q2 commentary on whether that offset held, and on Away From Home momentum (an area management called a "strategic opportunity" with early U.S. share gains in sauces), will be closely parsed.</w:t>
      </w:r>
    </w:p>
    <w:p>
      <w:pPr>
        <w:pStyle w:val="BodyText"/>
      </w:pPr>
      <w:r>
        <w:rPr>
          <w:b/>
          <w:bCs/>
        </w:rPr>
        <w:t xml:space="preserve">4. Capital allocation / free cash flow cadence.</w:t>
      </w:r>
      <w:r>
        <w:t xml:space="preserve"> </w:t>
      </w:r>
      <w:r>
        <w:t xml:space="preserve">FCF is expected to step down in H2 as the</w:t>
      </w:r>
      <w:r>
        <w:t xml:space="preserve"> </w:t>
      </w:r>
      <m:oMath>
        <m:r>
          <m:t>600</m:t>
        </m:r>
        <m:r>
          <m:t>m</m:t>
        </m:r>
        <m:r>
          <m:t>i</m:t>
        </m:r>
        <m:r>
          <m:t>l</m:t>
        </m:r>
        <m:r>
          <m:t>l</m:t>
        </m:r>
        <m:r>
          <m:t>i</m:t>
        </m:r>
        <m:r>
          <m:t>o</m:t>
        </m:r>
        <m:r>
          <m:t>n</m:t>
        </m:r>
        <m:r>
          <m:t>i</m:t>
        </m:r>
        <m:r>
          <m:t>n</m:t>
        </m:r>
        <m:r>
          <m:t>v</m:t>
        </m:r>
        <m:r>
          <m:t>e</m:t>
        </m:r>
        <m:r>
          <m:t>s</m:t>
        </m:r>
        <m:r>
          <m:t>t</m:t>
        </m:r>
        <m:r>
          <m:t>m</m:t>
        </m:r>
        <m:r>
          <m:t>e</m:t>
        </m:r>
        <m:r>
          <m:t>n</m:t>
        </m:r>
        <m:r>
          <m:t>t</m:t>
        </m:r>
        <m:r>
          <m:t>r</m:t>
        </m:r>
        <m:r>
          <m:t>a</m:t>
        </m:r>
        <m:r>
          <m:t>m</m:t>
        </m:r>
        <m:r>
          <m:t>p</m:t>
        </m:r>
        <m:r>
          <m:t>s</m:t>
        </m:r>
        <m:r>
          <m:rPr>
            <m:sty m:val="p"/>
          </m:rPr>
          <m:t>,</m:t>
        </m:r>
        <m:r>
          <m:t>b</m:t>
        </m:r>
        <m:r>
          <m:t>u</m:t>
        </m:r>
        <m:r>
          <m:t>t</m:t>
        </m:r>
        <m:r>
          <m:t>t</m:t>
        </m:r>
        <m:r>
          <m:t>h</m:t>
        </m:r>
        <m:r>
          <m:t>e</m:t>
        </m:r>
        <m:r>
          <m:t>b</m:t>
        </m:r>
        <m:r>
          <m:t>a</m:t>
        </m:r>
        <m:r>
          <m:t>l</m:t>
        </m:r>
        <m:r>
          <m:t>a</m:t>
        </m:r>
        <m:r>
          <m:t>n</m:t>
        </m:r>
        <m:r>
          <m:t>c</m:t>
        </m:r>
        <m:r>
          <m:t>e</m:t>
        </m:r>
        <m:r>
          <m:t>s</m:t>
        </m:r>
        <m:r>
          <m:t>h</m:t>
        </m:r>
        <m:r>
          <m:t>e</m:t>
        </m:r>
        <m:r>
          <m:t>e</m:t>
        </m:r>
        <m:r>
          <m:t>t</m:t>
        </m:r>
        <m:r>
          <m:t>i</m:t>
        </m:r>
        <m:r>
          <m:t>s</m:t>
        </m:r>
        <m:r>
          <m:t>s</m:t>
        </m:r>
        <m:r>
          <m:t>t</m:t>
        </m:r>
        <m:r>
          <m:t>r</m:t>
        </m:r>
        <m:r>
          <m:t>o</m:t>
        </m:r>
        <m:r>
          <m:t>n</m:t>
        </m:r>
        <m:r>
          <m:t>g</m:t>
        </m:r>
        <m:r>
          <m:t>e</m:t>
        </m:r>
        <m:r>
          <m:t>n</m:t>
        </m:r>
        <m:r>
          <m:t>o</m:t>
        </m:r>
        <m:r>
          <m:t>u</m:t>
        </m:r>
        <m:r>
          <m:t>g</m:t>
        </m:r>
        <m:r>
          <m:t>h</m:t>
        </m:r>
        <m:r>
          <m:t>t</m:t>
        </m:r>
        <m:r>
          <m:t>h</m:t>
        </m:r>
        <m:r>
          <m:t>a</m:t>
        </m:r>
        <m:r>
          <m:t>t</m:t>
        </m:r>
        <m:r>
          <m:t>m</m:t>
        </m:r>
        <m:r>
          <m:t>a</m:t>
        </m:r>
        <m:r>
          <m:t>n</m:t>
        </m:r>
        <m:r>
          <m:t>a</m:t>
        </m:r>
        <m:r>
          <m:t>g</m:t>
        </m:r>
        <m:r>
          <m:t>e</m:t>
        </m:r>
        <m:r>
          <m:t>m</m:t>
        </m:r>
        <m:r>
          <m:t>e</m:t>
        </m:r>
        <m:r>
          <m:t>n</m:t>
        </m:r>
        <m:r>
          <m:t>t</m:t>
        </m:r>
        <m:r>
          <m:t>f</m:t>
        </m:r>
        <m:r>
          <m:t>l</m:t>
        </m:r>
        <m:r>
          <m:t>a</m:t>
        </m:r>
        <m:r>
          <m:t>g</m:t>
        </m:r>
        <m:r>
          <m:t>g</m:t>
        </m:r>
        <m:r>
          <m:t>e</m:t>
        </m:r>
        <m:r>
          <m:t>d</m:t>
        </m:r>
        <m:r>
          <m:t>p</m:t>
        </m:r>
        <m:r>
          <m:t>a</m:t>
        </m:r>
        <m:r>
          <m:t>y</m:t>
        </m:r>
        <m:r>
          <m:t>i</m:t>
        </m:r>
        <m:r>
          <m:t>n</m:t>
        </m:r>
        <m:r>
          <m:t>g</m:t>
        </m:r>
        <m:r>
          <m:t>d</m:t>
        </m:r>
        <m:r>
          <m:t>o</m:t>
        </m:r>
        <m:r>
          <m:t>w</m:t>
        </m:r>
        <m:r>
          <m:t>n</m:t>
        </m:r>
        <m:r>
          <m:t>m</m:t>
        </m:r>
        <m:r>
          <m:t>a</m:t>
        </m:r>
        <m:r>
          <m:t>t</m:t>
        </m:r>
        <m:r>
          <m:t>u</m:t>
        </m:r>
        <m:r>
          <m:t>r</m:t>
        </m:r>
        <m:r>
          <m:t>i</m:t>
        </m:r>
        <m:r>
          <m:t>n</m:t>
        </m:r>
        <m:r>
          <m:t>g</m:t>
        </m:r>
        <m:r>
          <m:t>2026</m:t>
        </m:r>
        <m:r>
          <m:t>d</m:t>
        </m:r>
        <m:r>
          <m:t>e</m:t>
        </m:r>
        <m:r>
          <m:t>b</m:t>
        </m:r>
        <m:r>
          <m:t>t</m:t>
        </m:r>
        <m:r>
          <m:t>a</m:t>
        </m:r>
        <m:r>
          <m:t>n</m:t>
        </m:r>
        <m:r>
          <m:t>d</m:t>
        </m:r>
        <m:r>
          <m:t>p</m:t>
        </m:r>
        <m:r>
          <m:t>o</m:t>
        </m:r>
        <m:r>
          <m:t>t</m:t>
        </m:r>
        <m:r>
          <m:t>e</m:t>
        </m:r>
        <m:r>
          <m:t>n</m:t>
        </m:r>
        <m:r>
          <m:t>t</m:t>
        </m:r>
        <m:r>
          <m:t>i</m:t>
        </m:r>
        <m:r>
          <m:t>a</m:t>
        </m:r>
        <m:r>
          <m:t>l</m:t>
        </m:r>
        <m:r>
          <m:t>l</m:t>
        </m:r>
        <m:r>
          <m:t>y</m:t>
        </m:r>
        <m:r>
          <m:t>p</m:t>
        </m:r>
        <m:r>
          <m:t>r</m:t>
        </m:r>
        <m:r>
          <m:t>e</m:t>
        </m:r>
        <m:r>
          <m:t>p</m:t>
        </m:r>
        <m:r>
          <m:t>a</m:t>
        </m:r>
        <m:r>
          <m:t>y</m:t>
        </m:r>
        <m:r>
          <m:t>i</m:t>
        </m:r>
        <m:r>
          <m:t>n</m:t>
        </m:r>
        <m:r>
          <m:t>g</m:t>
        </m:r>
        <m:r>
          <m:t>p</m:t>
        </m:r>
        <m:r>
          <m:t>a</m:t>
        </m:r>
        <m:r>
          <m:t>r</m:t>
        </m:r>
        <m:r>
          <m:t>t</m:t>
        </m:r>
        <m:r>
          <m:t>o</m:t>
        </m:r>
        <m:r>
          <m:t>f</m:t>
        </m:r>
        <m:r>
          <m:t>t</m:t>
        </m:r>
        <m:r>
          <m:t>h</m:t>
        </m:r>
        <m:r>
          <m:t>e</m:t>
        </m:r>
        <m:r>
          <m:t> </m:t>
        </m:r>
      </m:oMath>
      <w:r>
        <w:t xml:space="preserve">1.9 billion due in 2027. Watch for buyback activity (none in Q1, ~$1.5B still authorized) and dividend commentary.</w:t>
      </w:r>
    </w:p>
    <w:p>
      <w:pPr>
        <w:pStyle w:val="BodyText"/>
      </w:pPr>
      <w:r>
        <w:rPr>
          <w:b/>
          <w:bCs/>
        </w:rPr>
        <w:t xml:space="preserve">5. The split overhang and governance actions.</w:t>
      </w:r>
      <w:r>
        <w:t xml:space="preserve"> </w:t>
      </w:r>
      <w:r>
        <w:t xml:space="preserve">The paused separation remains a swing factor for the stock — it's unclear if/when a split could be revisited. Adding to the intrigue: Kraft Heinz amended its bylaws on July 22, 2026, tightening shareholder-proposal/nomination rules and designating an exclusive litigation forum — a governance move that has drawn scrutiny given the backdrop of activist and large-shareholder pressure. Berkshire Hathaway continues to hold its roughly 27% stake (over 325 million shares as of March 31), even after reports in January that it was preparing to divest; Berkshire's Greg Abel said in March there were no immediate plans to change the position now that the split is on ice.</w:t>
      </w:r>
    </w:p>
    <w:p>
      <w:pPr>
        <w:pStyle w:val="BodyText"/>
      </w:pPr>
      <w:r>
        <w:rPr>
          <w:b/>
          <w:bCs/>
        </w:rPr>
        <w:t xml:space="preserve">6. Strategic newsflow: Disney partnership.</w:t>
      </w:r>
      <w:r>
        <w:t xml:space="preserve"> </w:t>
      </w:r>
      <w:r>
        <w:t xml:space="preserve">On July 21, Kraft Heinz announced a multiyear partnership with Disney placing Heinz, Philadelphia, and Kraft Mac &amp; Cheese across Disney's North American parks, resorts, cruise ships, studios, and streaming platforms. No financial terms were disclosed and shares were roughly flat on the news, but expect questions on how management sizes the opportunity and whether it signals a broader "brand experience" marketing strategy under the new $600 million investment umbrella.</w:t>
      </w:r>
    </w:p>
    <w:bookmarkEnd w:id="13"/>
    <w:bookmarkStart w:id="14" w:name="valuation--setup-into-the-print"/>
    <w:p>
      <w:pPr>
        <w:pStyle w:val="Heading2"/>
      </w:pPr>
      <w:r>
        <w:t xml:space="preserve">Valuation / Setup Into the Print</w:t>
      </w:r>
    </w:p>
    <w:p>
      <w:pPr>
        <w:pStyle w:val="FirstParagraph"/>
      </w:pPr>
      <w:r>
        <w:t xml:space="preserve">Analyst sentiment remains skeptical even as the stock has rallied: consensus rating is a</w:t>
      </w:r>
      <w:r>
        <w:t xml:space="preserve"> </w:t>
      </w:r>
      <w:r>
        <w:rPr>
          <w:b/>
          <w:bCs/>
        </w:rPr>
        <w:t xml:space="preserve">"Hold"</w:t>
      </w:r>
      <w:r>
        <w:t xml:space="preserve">, with average price targets clustered in the</w:t>
      </w:r>
      <w:r>
        <w:t xml:space="preserve"> </w:t>
      </w:r>
      <m:oMath>
        <m:r>
          <m:t>23</m:t>
        </m:r>
        <m:r>
          <m:rPr>
            <m:sty m:val="p"/>
          </m:rPr>
          <m:t>–</m:t>
        </m:r>
      </m:oMath>
      <w:r>
        <w:rPr>
          <w:b/>
          <w:bCs/>
        </w:rPr>
        <w:t xml:space="preserve">25 range</w:t>
      </w:r>
      <w:r>
        <w:t xml:space="preserve"> </w:t>
      </w:r>
      <w:r>
        <w:t xml:space="preserve">— below the current share price around $26.66. That gap suggests the stock has run ahead of where most sell-side models sit, raising the bar for tomorrow's results and, more importantly, for any incremental guidance change or confidence-building commentary on the durability of the turnaround.</w:t>
      </w:r>
    </w:p>
    <w:bookmarkEnd w:id="14"/>
    <w:bookmarkStart w:id="15" w:name="bottom-line"/>
    <w:p>
      <w:pPr>
        <w:pStyle w:val="Heading2"/>
      </w:pPr>
      <w:r>
        <w:t xml:space="preserve">Bottom Line</w:t>
      </w:r>
    </w:p>
    <w:p>
      <w:pPr>
        <w:pStyle w:val="FirstParagraph"/>
      </w:pPr>
      <w:r>
        <w:t xml:space="preserve">Expectations are low on the headline numbers — double-digit EBITDA and EPS declines are baked in — so the stock's reaction will likely hinge less on the magnitude of the Q2 decline and more on: (1) whether market-share/volume trends continued to improve in April–June without last quarter's calendar tailwinds, (2) management's tone on resin/energy inflation risk heading into Q3/Q4 and into 2027, and (3) any fresh signal on capital allocation, the paused split, or Berkshire's intentions. Given how much optimism about the "Cahillane turnaround" has already been priced in since the spring lows, this is a report where</w:t>
      </w:r>
      <w:r>
        <w:t xml:space="preserve"> </w:t>
      </w:r>
      <w:r>
        <w:rPr>
          <w:b/>
          <w:bCs/>
        </w:rPr>
        <w:t xml:space="preserve">in-line-but-encouraging</w:t>
      </w:r>
      <w:r>
        <w:t xml:space="preserve"> </w:t>
      </w:r>
      <w:r>
        <w:t xml:space="preserve">commentary may not be enough to satisfy a market that has already re-rated the stock higher.</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2026-08-05T00:29:48Z</dcterms:created>
  <dcterms:modified xsi:type="dcterms:W3CDTF">2026-08-05T00:29:48Z</dcterms:modified>
</cp:coreProperties>
</file>

<file path=docProps/custom.xml><?xml version="1.0" encoding="utf-8"?>
<Properties xmlns="http://schemas.openxmlformats.org/officeDocument/2006/custom-properties" xmlns:vt="http://schemas.openxmlformats.org/officeDocument/2006/docPropsVTypes"/>
</file>