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kraft-heinz-khc-2026-q2-earnings-preview"/>
    <w:p>
      <w:pPr>
        <w:pStyle w:val="Heading1"/>
      </w:pPr>
      <w:r>
        <w:t xml:space="preserve">Kraft Heinz (KHC) 2026 Q2 Earnings Preview</w:t>
      </w:r>
    </w:p>
    <w:p>
      <w:pPr>
        <w:pStyle w:val="BlockText"/>
      </w:pPr>
      <w:r>
        <w:rPr>
          <w:b/>
          <w:bCs/>
        </w:rPr>
        <w:t xml:space="preserve">Timing note:</w:t>
      </w:r>
      <w:r>
        <w:t xml:space="preserve"> </w:t>
      </w:r>
      <w:r>
        <w:t xml:space="preserve">Kraft Heinz is scheduled to report before the U.S. market opens on</w:t>
      </w:r>
      <w:r>
        <w:t xml:space="preserve"> </w:t>
      </w:r>
      <w:r>
        <w:rPr>
          <w:b/>
          <w:bCs/>
        </w:rPr>
        <w:t xml:space="preserve">Wednesday, August 5, 2026—which is today, not tomorrow</w:t>
      </w:r>
      <w:r>
        <w:t xml:space="preserve">. This preview assumes the results have not yet been released.</w:t>
      </w:r>
    </w:p>
    <w:bookmarkStart w:id="9" w:name="executive-view"/>
    <w:p>
      <w:pPr>
        <w:pStyle w:val="Heading2"/>
      </w:pPr>
      <w:r>
        <w:t xml:space="preserve">Executive view</w:t>
      </w:r>
    </w:p>
    <w:p>
      <w:pPr>
        <w:pStyle w:val="FirstParagraph"/>
      </w:pPr>
      <w:r>
        <w:t xml:space="preserve">Kraft Heinz’s second quarter is expected to look weak on the surface: organic revenue, volume, EBITDA, and EPS are all forecast to decline materially. But management already telegraphed much of that weakness, including a difficult Easter comparison, lower SNAP spending, category softness, and a ramp in turnaround investments.</w:t>
      </w:r>
    </w:p>
    <w:p>
      <w:pPr>
        <w:pStyle w:val="BodyText"/>
      </w:pPr>
      <w:r>
        <w:t xml:space="preserve">The more important question is whether the company can show that its</w:t>
      </w:r>
      <w:r>
        <w:t xml:space="preserve"> </w:t>
      </w:r>
      <w:r>
        <w:rPr>
          <w:b/>
          <w:bCs/>
        </w:rPr>
        <w:t xml:space="preserve">$600 million reinvestment program is beginning to improve market share and volume trends without creating a larger-than-planned margin problem</w:t>
      </w:r>
      <w:r>
        <w:t xml:space="preserve">.</w:t>
      </w:r>
    </w:p>
    <w:p>
      <w:pPr>
        <w:pStyle w:val="BodyText"/>
      </w:pPr>
      <w:r>
        <w:t xml:space="preserve">Investors should prioritize four items:</w:t>
      </w:r>
    </w:p>
    <w:p>
      <w:pPr>
        <w:pStyle w:val="Compact"/>
        <w:numPr>
          <w:ilvl w:val="0"/>
          <w:numId w:val="1001"/>
        </w:numPr>
      </w:pPr>
      <w:r>
        <w:rPr>
          <w:b/>
          <w:bCs/>
        </w:rPr>
        <w:t xml:space="preserve">The quality of organic sales</w:t>
      </w:r>
      <w:r>
        <w:t xml:space="preserve">, particularly volume and North American market share.</w:t>
      </w:r>
    </w:p>
    <w:p>
      <w:pPr>
        <w:pStyle w:val="Compact"/>
        <w:numPr>
          <w:ilvl w:val="0"/>
          <w:numId w:val="1001"/>
        </w:numPr>
      </w:pPr>
      <w:r>
        <w:rPr>
          <w:b/>
          <w:bCs/>
        </w:rPr>
        <w:t xml:space="preserve">Evidence that brand investments are producing measurable returns.</w:t>
      </w:r>
    </w:p>
    <w:p>
      <w:pPr>
        <w:pStyle w:val="Compact"/>
        <w:numPr>
          <w:ilvl w:val="0"/>
          <w:numId w:val="1001"/>
        </w:numPr>
      </w:pPr>
      <w:r>
        <w:rPr>
          <w:b/>
          <w:bCs/>
        </w:rPr>
        <w:t xml:space="preserve">The inflation and gross-margin outlook for the second half.</w:t>
      </w:r>
    </w:p>
    <w:p>
      <w:pPr>
        <w:pStyle w:val="Compact"/>
        <w:numPr>
          <w:ilvl w:val="0"/>
          <w:numId w:val="1001"/>
        </w:numPr>
      </w:pPr>
      <w:r>
        <w:rPr>
          <w:b/>
          <w:bCs/>
        </w:rPr>
        <w:t xml:space="preserve">Whether management can reaffirm—and potentially de-risk—the 2026 guidance.</w:t>
      </w:r>
    </w:p>
    <w:p>
      <w:pPr>
        <w:pStyle w:val="FirstParagraph"/>
      </w:pPr>
      <w:r>
        <w:t xml:space="preserve">An EPS beat driven by taxes, currency, or below-the-line items would be considerably less meaningful than better volume, market share, and gross-margin performance.</w:t>
      </w:r>
    </w:p>
    <w:p>
      <w:r>
        <w:pict>
          <v:rect style="width:0;height:1.5pt" o:hralign="center" o:hrstd="t" o:hr="t"/>
        </w:pict>
      </w:r>
    </w:p>
    <w:bookmarkEnd w:id="9"/>
    <w:bookmarkStart w:id="10" w:name="expectations-and-relevant-benchmarks"/>
    <w:p>
      <w:pPr>
        <w:pStyle w:val="Heading2"/>
      </w:pPr>
      <w:r>
        <w:t xml:space="preserve">Expectations and relevant benchmarks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expectation/commentary</w:t>
            </w:r>
          </w:p>
        </w:tc>
        <w:tc>
          <w:tcPr/>
          <w:p>
            <w:pPr>
              <w:pStyle w:val="Compact"/>
              <w:jc w:val="right"/>
            </w:pPr>
            <w:r>
              <w:t xml:space="preserve">Relevant comparison</w:t>
            </w:r>
          </w:p>
        </w:tc>
      </w:tr>
      <w:tr>
        <w:tc>
          <w:tcPr/>
          <w:p>
            <w:pPr>
              <w:pStyle w:val="Compact"/>
            </w:pPr>
            <w:r>
              <w:t xml:space="preserve">Organic net sales</w:t>
            </w:r>
          </w:p>
        </w:tc>
        <w:tc>
          <w:tcPr/>
          <w:p>
            <w:pPr>
              <w:pStyle w:val="Compact"/>
              <w:jc w:val="right"/>
            </w:pPr>
            <w:r>
              <w:t xml:space="preserve">Street:</w:t>
            </w:r>
            <w:r>
              <w:t xml:space="preserve"> </w:t>
            </w:r>
            <w:r>
              <w:rPr>
                <w:b/>
                <w:bCs/>
              </w:rPr>
              <w:t xml:space="preserve">-3.5%</w:t>
            </w:r>
          </w:p>
        </w:tc>
        <w:tc>
          <w:tcPr/>
          <w:p>
            <w:pPr>
              <w:pStyle w:val="Compact"/>
              <w:jc w:val="right"/>
            </w:pPr>
            <w:r>
              <w:t xml:space="preserve">Management previously guided Q2 to</w:t>
            </w:r>
            <w:r>
              <w:t xml:space="preserve"> </w:t>
            </w:r>
            <w:r>
              <w:rPr>
                <w:b/>
                <w:bCs/>
              </w:rPr>
              <w:t xml:space="preserve">-3% to -5%</w:t>
            </w:r>
          </w:p>
        </w:tc>
      </w:tr>
      <w:tr>
        <w:tc>
          <w:tcPr/>
          <w:p>
            <w:pPr>
              <w:pStyle w:val="Compact"/>
            </w:pPr>
            <w:r>
              <w:t xml:space="preserve">Volume/mix</w:t>
            </w:r>
          </w:p>
        </w:tc>
        <w:tc>
          <w:tcPr/>
          <w:p>
            <w:pPr>
              <w:pStyle w:val="Compact"/>
              <w:jc w:val="right"/>
            </w:pPr>
            <w:r>
              <w:t xml:space="preserve">Street: approximately</w:t>
            </w:r>
            <w:r>
              <w:t xml:space="preserve"> </w:t>
            </w:r>
            <w:r>
              <w:rPr>
                <w:b/>
                <w:bCs/>
              </w:rPr>
              <w:t xml:space="preserve">-4.1%</w:t>
            </w:r>
          </w:p>
        </w:tc>
        <w:tc>
          <w:tcPr/>
          <w:p>
            <w:pPr>
              <w:pStyle w:val="Compact"/>
              <w:jc w:val="right"/>
            </w:pPr>
            <w:r>
              <w:t xml:space="preserve">Q1 2026:</w:t>
            </w:r>
            <w:r>
              <w:t xml:space="preserve"> </w:t>
            </w:r>
            <w:r>
              <w:rPr>
                <w:b/>
                <w:bCs/>
              </w:rPr>
              <w:t xml:space="preserve">-1.2%</w:t>
            </w:r>
          </w:p>
        </w:tc>
      </w:tr>
      <w:tr>
        <w:tc>
          <w:tcPr/>
          <w:p>
            <w:pPr>
              <w:pStyle w:val="Compact"/>
            </w:pPr>
            <w:r>
              <w:t xml:space="preserve">EBITDA</w:t>
            </w:r>
          </w:p>
        </w:tc>
        <w:tc>
          <w:tcPr/>
          <w:p>
            <w:pPr>
              <w:pStyle w:val="Compact"/>
              <w:jc w:val="right"/>
            </w:pPr>
            <w:r>
              <w:t xml:space="preserve">Street: approximately</w:t>
            </w:r>
            <w:r>
              <w:t xml:space="preserve"> </w:t>
            </w:r>
            <w:r>
              <w:rPr>
                <w:b/>
                <w:bCs/>
              </w:rPr>
              <w:t xml:space="preserve">$1.28 billion</w:t>
            </w:r>
            <w:r>
              <w:t xml:space="preserve">, down about 16%</w:t>
            </w:r>
          </w:p>
        </w:tc>
        <w:tc>
          <w:tcPr/>
          <w:p>
            <w:pPr>
              <w:pStyle w:val="Compact"/>
              <w:jc w:val="right"/>
            </w:pPr>
            <w:r>
              <w:t xml:space="preserve">Reflects investment and inflation pressure</w:t>
            </w:r>
          </w:p>
        </w:tc>
      </w:tr>
      <w:tr>
        <w:tc>
          <w:tcPr/>
          <w:p>
            <w:pPr>
              <w:pStyle w:val="Compact"/>
            </w:pPr>
            <w:r>
              <w:t xml:space="preserve">Adjusted EPS</w:t>
            </w:r>
          </w:p>
        </w:tc>
        <w:tc>
          <w:tcPr/>
          <w:p>
            <w:pPr>
              <w:pStyle w:val="Compact"/>
              <w:jc w:val="right"/>
            </w:pPr>
            <w:r>
              <w:t xml:space="preserve">Street: approximately</w:t>
            </w:r>
            <w:r>
              <w:t xml:space="preserve"> </w:t>
            </w:r>
            <w:r>
              <w:rPr>
                <w:b/>
                <w:bCs/>
              </w:rPr>
              <w:t xml:space="preserve">$0.53</w:t>
            </w:r>
            <w:r>
              <w:t xml:space="preserve">, down 23%</w:t>
            </w:r>
          </w:p>
        </w:tc>
        <w:tc>
          <w:tcPr/>
          <w:p>
            <w:pPr>
              <w:pStyle w:val="Compact"/>
              <w:jc w:val="right"/>
            </w:pPr>
            <w:r>
              <w:t xml:space="preserve">Q2 2025:</w:t>
            </w:r>
            <w:r>
              <w:t xml:space="preserve"> </w:t>
            </w:r>
            <w:r>
              <w:rPr>
                <w:b/>
                <w:bCs/>
              </w:rPr>
              <w:t xml:space="preserve">$0.69</w:t>
            </w:r>
          </w:p>
        </w:tc>
      </w:tr>
      <w:tr>
        <w:tc>
          <w:tcPr/>
          <w:p>
            <w:pPr>
              <w:pStyle w:val="Compact"/>
            </w:pPr>
            <w:r>
              <w:t xml:space="preserve">Q2 2025 net sales</w:t>
            </w:r>
          </w:p>
        </w:tc>
        <w:tc>
          <w:tcPr/>
          <w:p>
            <w:pPr>
              <w:pStyle w:val="Compact"/>
              <w:jc w:val="right"/>
            </w:pPr>
            <w:r>
              <w:t xml:space="preserve">—</w:t>
            </w:r>
          </w:p>
        </w:tc>
        <w:tc>
          <w:tcPr/>
          <w:p>
            <w:pPr>
              <w:pStyle w:val="Compact"/>
              <w:jc w:val="right"/>
            </w:pPr>
            <w:r>
              <w:rPr>
                <w:b/>
                <w:bCs/>
              </w:rPr>
              <w:t xml:space="preserve">$6.35 billion</w:t>
            </w:r>
          </w:p>
        </w:tc>
      </w:tr>
      <w:tr>
        <w:tc>
          <w:tcPr/>
          <w:p>
            <w:pPr>
              <w:pStyle w:val="Compact"/>
            </w:pPr>
            <w:r>
              <w:t xml:space="preserve">Q2 2025 organic sales</w:t>
            </w:r>
          </w:p>
        </w:tc>
        <w:tc>
          <w:tcPr/>
          <w:p>
            <w:pPr>
              <w:pStyle w:val="Compact"/>
              <w:jc w:val="right"/>
            </w:pPr>
            <w:r>
              <w:t xml:space="preserve">—</w:t>
            </w:r>
          </w:p>
        </w:tc>
        <w:tc>
          <w:tcPr/>
          <w:p>
            <w:pPr>
              <w:pStyle w:val="Compact"/>
              <w:jc w:val="right"/>
            </w:pPr>
            <w:r>
              <w:rPr>
                <w:b/>
                <w:bCs/>
              </w:rPr>
              <w:t xml:space="preserve">-2.0%</w:t>
            </w:r>
          </w:p>
        </w:tc>
      </w:tr>
      <w:tr>
        <w:tc>
          <w:tcPr/>
          <w:p>
            <w:pPr>
              <w:pStyle w:val="Compact"/>
            </w:pPr>
            <w:r>
              <w:t xml:space="preserve">Q2 2025 volume/mix</w:t>
            </w:r>
          </w:p>
        </w:tc>
        <w:tc>
          <w:tcPr/>
          <w:p>
            <w:pPr>
              <w:pStyle w:val="Compact"/>
              <w:jc w:val="right"/>
            </w:pPr>
            <w:r>
              <w:t xml:space="preserve">—</w:t>
            </w:r>
          </w:p>
        </w:tc>
        <w:tc>
          <w:tcPr/>
          <w:p>
            <w:pPr>
              <w:pStyle w:val="Compact"/>
              <w:jc w:val="right"/>
            </w:pPr>
            <w:r>
              <w:rPr>
                <w:b/>
                <w:bCs/>
              </w:rPr>
              <w:t xml:space="preserve">-2.7%</w:t>
            </w:r>
          </w:p>
        </w:tc>
      </w:tr>
      <w:tr>
        <w:tc>
          <w:tcPr/>
          <w:p>
            <w:pPr>
              <w:pStyle w:val="Compact"/>
            </w:pPr>
            <w:r>
              <w:t xml:space="preserve">Q2 2025 adjusted gross margin</w:t>
            </w:r>
          </w:p>
        </w:tc>
        <w:tc>
          <w:tcPr/>
          <w:p>
            <w:pPr>
              <w:pStyle w:val="Compact"/>
              <w:jc w:val="right"/>
            </w:pPr>
            <w:r>
              <w:t xml:space="preserve">—</w:t>
            </w:r>
          </w:p>
        </w:tc>
        <w:tc>
          <w:tcPr/>
          <w:p>
            <w:pPr>
              <w:pStyle w:val="Compact"/>
              <w:jc w:val="right"/>
            </w:pPr>
            <w:r>
              <w:rPr>
                <w:b/>
                <w:bCs/>
              </w:rPr>
              <w:t xml:space="preserve">34.1%</w:t>
            </w:r>
          </w:p>
        </w:tc>
      </w:tr>
    </w:tbl>
    <w:p>
      <w:pPr>
        <w:pStyle w:val="BodyText"/>
      </w:pPr>
      <w:r>
        <w:t xml:space="preserve">The Street’s organic-sales estimate is modestly better than the midpoint of management’s Q2 range. Thus, simply landing within the prior range may not be enough for a favorable reaction if the result is driven by deeper volume weakness or heavier discounting.</w:t>
      </w:r>
    </w:p>
    <w:p>
      <w:r>
        <w:pict>
          <v:rect style="width:0;height:1.5pt" o:hralign="center" o:hrstd="t" o:hr="t"/>
        </w:pict>
      </w:r>
    </w:p>
    <w:bookmarkEnd w:id="10"/>
    <w:bookmarkStart w:id="12" w:name="Xb70785d614cf1c2bdac840045f248f0797ba47f"/>
    <w:p>
      <w:pPr>
        <w:pStyle w:val="Heading2"/>
      </w:pPr>
      <w:r>
        <w:t xml:space="preserve">The central debate: Is the turnaround gaining traction?</w:t>
      </w:r>
    </w:p>
    <w:p>
      <w:pPr>
        <w:pStyle w:val="FirstParagraph"/>
      </w:pPr>
      <w:r>
        <w:t xml:space="preserve">Kraft Heinz’s strategy under CEO Steve Cahillane is to restore growth by reinvesting in brands and commercial capabilities rather than prioritizing near-term profit protection. Management paused the proposed company separation to focus resources on this turnaround.</w:t>
      </w:r>
    </w:p>
    <w:p>
      <w:pPr>
        <w:pStyle w:val="BodyText"/>
      </w:pPr>
      <w:r>
        <w:t xml:space="preserve">The company plans to invest approximately</w:t>
      </w:r>
      <w:r>
        <w:t xml:space="preserve"> </w:t>
      </w:r>
      <w:r>
        <w:rPr>
          <w:b/>
          <w:bCs/>
        </w:rPr>
        <w:t xml:space="preserve">$600 million during 2026</w:t>
      </w:r>
      <w:r>
        <w:t xml:space="preserve"> </w:t>
      </w:r>
      <w:r>
        <w:t xml:space="preserve">across:</w:t>
      </w:r>
    </w:p>
    <w:p>
      <w:pPr>
        <w:pStyle w:val="Compact"/>
        <w:numPr>
          <w:ilvl w:val="0"/>
          <w:numId w:val="1002"/>
        </w:numPr>
      </w:pPr>
      <w:r>
        <w:t xml:space="preserve">Marketing and advertising</w:t>
      </w:r>
    </w:p>
    <w:p>
      <w:pPr>
        <w:pStyle w:val="Compact"/>
        <w:numPr>
          <w:ilvl w:val="0"/>
          <w:numId w:val="1002"/>
        </w:numPr>
      </w:pPr>
      <w:r>
        <w:t xml:space="preserve">Product and packaging improvements</w:t>
      </w:r>
    </w:p>
    <w:p>
      <w:pPr>
        <w:pStyle w:val="Compact"/>
        <w:numPr>
          <w:ilvl w:val="0"/>
          <w:numId w:val="1002"/>
        </w:numPr>
      </w:pPr>
      <w:r>
        <w:t xml:space="preserve">Price and promotional support</w:t>
      </w:r>
    </w:p>
    <w:p>
      <w:pPr>
        <w:pStyle w:val="Compact"/>
        <w:numPr>
          <w:ilvl w:val="0"/>
          <w:numId w:val="1002"/>
        </w:numPr>
      </w:pPr>
      <w:r>
        <w:t xml:space="preserve">Sales and marketing personnel</w:t>
      </w:r>
    </w:p>
    <w:p>
      <w:pPr>
        <w:pStyle w:val="Compact"/>
        <w:numPr>
          <w:ilvl w:val="0"/>
          <w:numId w:val="1002"/>
        </w:numPr>
      </w:pPr>
      <w:r>
        <w:t xml:space="preserve">R&amp;D and innovation</w:t>
      </w:r>
    </w:p>
    <w:p>
      <w:pPr>
        <w:pStyle w:val="FirstParagraph"/>
      </w:pPr>
      <w:r>
        <w:t xml:space="preserve">Annual marketing spending is expected to reach at least</w:t>
      </w:r>
      <w:r>
        <w:t xml:space="preserve"> </w:t>
      </w:r>
      <w:r>
        <w:rPr>
          <w:b/>
          <w:bCs/>
        </w:rPr>
        <w:t xml:space="preserve">5.5% of revenue</w:t>
      </w:r>
      <w:r>
        <w:t xml:space="preserve">, representing an increase of at least 20%. Spending was up 37% in Q1, though management said most of the overall investment remained to be deployed.</w:t>
      </w:r>
    </w:p>
    <w:p>
      <w:pPr>
        <w:pStyle w:val="BodyText"/>
      </w:pPr>
      <w:r>
        <w:t xml:space="preserve">The key issue is not whether expenses rise—they are supposed to—but whether Kraft Heinz can demonstrate a credible connection between that spending and:</w:t>
      </w:r>
    </w:p>
    <w:p>
      <w:pPr>
        <w:pStyle w:val="Compact"/>
        <w:numPr>
          <w:ilvl w:val="0"/>
          <w:numId w:val="1003"/>
        </w:numPr>
      </w:pPr>
      <w:r>
        <w:t xml:space="preserve">Better household penetration</w:t>
      </w:r>
    </w:p>
    <w:p>
      <w:pPr>
        <w:pStyle w:val="Compact"/>
        <w:numPr>
          <w:ilvl w:val="0"/>
          <w:numId w:val="1003"/>
        </w:numPr>
      </w:pPr>
      <w:r>
        <w:t xml:space="preserve">Improved distribution</w:t>
      </w:r>
    </w:p>
    <w:p>
      <w:pPr>
        <w:pStyle w:val="Compact"/>
        <w:numPr>
          <w:ilvl w:val="0"/>
          <w:numId w:val="1003"/>
        </w:numPr>
      </w:pPr>
      <w:r>
        <w:t xml:space="preserve">Higher value market share</w:t>
      </w:r>
    </w:p>
    <w:p>
      <w:pPr>
        <w:pStyle w:val="Compact"/>
        <w:numPr>
          <w:ilvl w:val="0"/>
          <w:numId w:val="1003"/>
        </w:numPr>
      </w:pPr>
      <w:r>
        <w:t xml:space="preserve">Stabilizing volume</w:t>
      </w:r>
    </w:p>
    <w:p>
      <w:pPr>
        <w:pStyle w:val="Compact"/>
        <w:numPr>
          <w:ilvl w:val="0"/>
          <w:numId w:val="1003"/>
        </w:numPr>
      </w:pPr>
      <w:r>
        <w:t xml:space="preserve">Stronger retailer support</w:t>
      </w:r>
    </w:p>
    <w:p>
      <w:pPr>
        <w:pStyle w:val="Compact"/>
        <w:numPr>
          <w:ilvl w:val="0"/>
          <w:numId w:val="1003"/>
        </w:numPr>
      </w:pPr>
      <w:r>
        <w:t xml:space="preserve">Successful innovation</w:t>
      </w:r>
    </w:p>
    <w:bookmarkStart w:id="11" w:name="the-encouraging-starting-point"/>
    <w:p>
      <w:pPr>
        <w:pStyle w:val="Heading3"/>
      </w:pPr>
      <w:r>
        <w:t xml:space="preserve">The encouraging starting point</w:t>
      </w:r>
    </w:p>
    <w:p>
      <w:pPr>
        <w:pStyle w:val="FirstParagraph"/>
      </w:pPr>
      <w:r>
        <w:t xml:space="preserve">Management reported meaningful sequential market-share improvement in Q1:</w:t>
      </w:r>
    </w:p>
    <w:p>
      <w:pPr>
        <w:pStyle w:val="Compact"/>
        <w:numPr>
          <w:ilvl w:val="0"/>
          <w:numId w:val="1004"/>
        </w:numPr>
      </w:pPr>
      <w:r>
        <w:t xml:space="preserve">The percentage of the total portfolio holding or gaining share improved from</w:t>
      </w:r>
      <w:r>
        <w:t xml:space="preserve"> </w:t>
      </w:r>
      <w:r>
        <w:rPr>
          <w:b/>
          <w:bCs/>
        </w:rPr>
        <w:t xml:space="preserve">21% during 2025 to 35% in Q1 2026</w:t>
      </w:r>
      <w:r>
        <w:t xml:space="preserve">.</w:t>
      </w:r>
    </w:p>
    <w:p>
      <w:pPr>
        <w:pStyle w:val="Compact"/>
        <w:numPr>
          <w:ilvl w:val="0"/>
          <w:numId w:val="1004"/>
        </w:numPr>
      </w:pPr>
      <w:r>
        <w:t xml:space="preserve">That figure reached</w:t>
      </w:r>
      <w:r>
        <w:t xml:space="preserve"> </w:t>
      </w:r>
      <w:r>
        <w:rPr>
          <w:b/>
          <w:bCs/>
        </w:rPr>
        <w:t xml:space="preserve">58% in March</w:t>
      </w:r>
      <w:r>
        <w:t xml:space="preserve">.</w:t>
      </w:r>
    </w:p>
    <w:p>
      <w:pPr>
        <w:pStyle w:val="Compact"/>
        <w:numPr>
          <w:ilvl w:val="0"/>
          <w:numId w:val="1004"/>
        </w:numPr>
      </w:pPr>
      <w:r>
        <w:t xml:space="preserve">Within Taste Elevation, the percentage holding or gaining share reached</w:t>
      </w:r>
      <w:r>
        <w:t xml:space="preserve"> </w:t>
      </w:r>
      <w:r>
        <w:rPr>
          <w:b/>
          <w:bCs/>
        </w:rPr>
        <w:t xml:space="preserve">81% in Q1 and 87% in March</w:t>
      </w:r>
      <w:r>
        <w:t xml:space="preserve">.</w:t>
      </w:r>
    </w:p>
    <w:p>
      <w:pPr>
        <w:pStyle w:val="Compact"/>
        <w:numPr>
          <w:ilvl w:val="0"/>
          <w:numId w:val="1004"/>
        </w:numPr>
      </w:pPr>
      <w:r>
        <w:t xml:space="preserve">Mix-adjusted share losses improved from roughly 90 basis points at the start of 2025 to approximately 30 basis points entering Q2 2026.</w:t>
      </w:r>
    </w:p>
    <w:p>
      <w:pPr>
        <w:pStyle w:val="FirstParagraph"/>
      </w:pPr>
      <w:r>
        <w:t xml:space="preserve">Those figures created optimism that the brands still respond when adequately supported. Q2 needs to confirm that March was not merely a short-lived improvement helped by weather, pantry loading, or Easter timing.</w:t>
      </w:r>
    </w:p>
    <w:p>
      <w:r>
        <w:pict>
          <v:rect style="width:0;height:1.5pt" o:hralign="center" o:hrstd="t" o:hr="t"/>
        </w:pict>
      </w:r>
    </w:p>
    <w:bookmarkEnd w:id="11"/>
    <w:bookmarkEnd w:id="12"/>
    <w:bookmarkStart w:id="15" w:name="what-to-watch-in-organic-sales"/>
    <w:p>
      <w:pPr>
        <w:pStyle w:val="Heading2"/>
      </w:pPr>
      <w:r>
        <w:t xml:space="preserve">What to watch in organic sales</w:t>
      </w:r>
    </w:p>
    <w:bookmarkStart w:id="13" w:name="Xec565fd50a75000f942659615de0c5b22ea5fcb"/>
    <w:p>
      <w:pPr>
        <w:pStyle w:val="Heading3"/>
      </w:pPr>
      <w:r>
        <w:t xml:space="preserve">1. Volume is more important than pricing</w:t>
      </w:r>
    </w:p>
    <w:p>
      <w:pPr>
        <w:pStyle w:val="FirstParagraph"/>
      </w:pPr>
      <w:r>
        <w:t xml:space="preserve">The expected organic-sales decline appears to be almost entirely volume-driven. The Street expects volume/mix to decline roughly 4.1%, compared with modestly positive pricing.</w:t>
      </w:r>
    </w:p>
    <w:p>
      <w:pPr>
        <w:pStyle w:val="BodyText"/>
      </w:pPr>
      <w:r>
        <w:t xml:space="preserve">A result near the consensus organic-sales number could therefore have very different implications:</w:t>
      </w:r>
    </w:p>
    <w:p>
      <w:pPr>
        <w:pStyle w:val="Compact"/>
        <w:numPr>
          <w:ilvl w:val="0"/>
          <w:numId w:val="1005"/>
        </w:numPr>
      </w:pPr>
      <w:r>
        <w:rPr>
          <w:b/>
          <w:bCs/>
        </w:rPr>
        <w:t xml:space="preserve">Higher-quality result:</w:t>
      </w:r>
      <w:r>
        <w:t xml:space="preserve"> </w:t>
      </w:r>
      <w:r>
        <w:t xml:space="preserve">volume better than expected, modest pricing, improving share.</w:t>
      </w:r>
    </w:p>
    <w:p>
      <w:pPr>
        <w:pStyle w:val="Compact"/>
        <w:numPr>
          <w:ilvl w:val="0"/>
          <w:numId w:val="1005"/>
        </w:numPr>
      </w:pPr>
      <w:r>
        <w:rPr>
          <w:b/>
          <w:bCs/>
        </w:rPr>
        <w:t xml:space="preserve">Lower-quality result:</w:t>
      </w:r>
      <w:r>
        <w:t xml:space="preserve"> </w:t>
      </w:r>
      <w:r>
        <w:t xml:space="preserve">weak volume masked by pricing, promotions, or shipment timing.</w:t>
      </w:r>
    </w:p>
    <w:p>
      <w:pPr>
        <w:pStyle w:val="Compact"/>
        <w:numPr>
          <w:ilvl w:val="0"/>
          <w:numId w:val="1005"/>
        </w:numPr>
      </w:pPr>
      <w:r>
        <w:rPr>
          <w:b/>
          <w:bCs/>
        </w:rPr>
        <w:t xml:space="preserve">Potentially concerning result:</w:t>
      </w:r>
      <w:r>
        <w:t xml:space="preserve"> </w:t>
      </w:r>
      <w:r>
        <w:t xml:space="preserve">severe volume weakness even after expanded promotions and lower opening price points.</w:t>
      </w:r>
    </w:p>
    <w:p>
      <w:pPr>
        <w:pStyle w:val="FirstParagraph"/>
      </w:pPr>
      <w:r>
        <w:t xml:space="preserve">Management has said it wants to return Kraft Heinz to</w:t>
      </w:r>
      <w:r>
        <w:t xml:space="preserve"> </w:t>
      </w:r>
      <w:r>
        <w:rPr>
          <w:b/>
          <w:bCs/>
        </w:rPr>
        <w:t xml:space="preserve">profitable, volume-led growth</w:t>
      </w:r>
      <w:r>
        <w:t xml:space="preserve">. Investors should judge the quarter against that longer-term objective, not merely against the headline revenue estimate.</w:t>
      </w:r>
    </w:p>
    <w:bookmarkEnd w:id="13"/>
    <w:bookmarkStart w:id="14" w:name="Xde390b2a1126b2791fab51b38628fc5107a14f7"/>
    <w:p>
      <w:pPr>
        <w:pStyle w:val="Heading3"/>
      </w:pPr>
      <w:r>
        <w:t xml:space="preserve">2. North America remains the decisive segment</w:t>
      </w:r>
    </w:p>
    <w:p>
      <w:pPr>
        <w:pStyle w:val="FirstParagraph"/>
      </w:pPr>
      <w:r>
        <w:t xml:space="preserve">North America generated approximately three-quarters of Q1 sales and remains the turnaround’s main problem area. Q1 North American organic sales declined 1.1%, with volume/mix down 1.5%.</w:t>
      </w:r>
    </w:p>
    <w:p>
      <w:pPr>
        <w:pStyle w:val="BodyText"/>
      </w:pPr>
      <w:r>
        <w:t xml:space="preserve">Q2 faces additional pressure from:</w:t>
      </w:r>
    </w:p>
    <w:p>
      <w:pPr>
        <w:pStyle w:val="Compact"/>
        <w:numPr>
          <w:ilvl w:val="0"/>
          <w:numId w:val="1006"/>
        </w:numPr>
      </w:pPr>
      <w:r>
        <w:t xml:space="preserve">The reversal of Q1’s favorable Easter timing</w:t>
      </w:r>
    </w:p>
    <w:p>
      <w:pPr>
        <w:pStyle w:val="Compact"/>
        <w:numPr>
          <w:ilvl w:val="0"/>
          <w:numId w:val="1006"/>
        </w:numPr>
      </w:pPr>
      <w:r>
        <w:t xml:space="preserve">Lower SNAP purchasing power</w:t>
      </w:r>
    </w:p>
    <w:p>
      <w:pPr>
        <w:pStyle w:val="Compact"/>
        <w:numPr>
          <w:ilvl w:val="0"/>
          <w:numId w:val="1006"/>
        </w:numPr>
      </w:pPr>
      <w:r>
        <w:t xml:space="preserve">Weak packaged-food category volumes</w:t>
      </w:r>
    </w:p>
    <w:p>
      <w:pPr>
        <w:pStyle w:val="Compact"/>
        <w:numPr>
          <w:ilvl w:val="0"/>
          <w:numId w:val="1006"/>
        </w:numPr>
      </w:pPr>
      <w:r>
        <w:t xml:space="preserve">Continued pressure in coffee, cold cuts, and other mature categories</w:t>
      </w:r>
    </w:p>
    <w:p>
      <w:pPr>
        <w:pStyle w:val="Compact"/>
        <w:numPr>
          <w:ilvl w:val="0"/>
          <w:numId w:val="1006"/>
        </w:numPr>
      </w:pPr>
      <w:r>
        <w:t xml:space="preserve">Investment intended to improve affordability, which may reduce reported price contribution</w:t>
      </w:r>
    </w:p>
    <w:p>
      <w:pPr>
        <w:pStyle w:val="FirstParagraph"/>
      </w:pPr>
      <w:r>
        <w:t xml:space="preserve">Investors should look for specific commentary on sauces, cream cheese, macaroni and cheese, hydration, Lunchables, meats, and frozen foods rather than relying only on an aggregate North American number.</w:t>
      </w:r>
    </w:p>
    <w:p>
      <w:r>
        <w:pict>
          <v:rect style="width:0;height:1.5pt" o:hralign="center" o:hrstd="t" o:hr="t"/>
        </w:pict>
      </w:r>
    </w:p>
    <w:bookmarkEnd w:id="14"/>
    <w:bookmarkEnd w:id="15"/>
    <w:bookmarkStart w:id="16" w:name="Xcc9a5baab47da82a1af2a81e59da1646138234a"/>
    <w:p>
      <w:pPr>
        <w:pStyle w:val="Heading2"/>
      </w:pPr>
      <w:r>
        <w:t xml:space="preserve">SNAP exposure could be a material swing factor</w:t>
      </w:r>
    </w:p>
    <w:p>
      <w:pPr>
        <w:pStyle w:val="FirstParagraph"/>
      </w:pPr>
      <w:r>
        <w:t xml:space="preserve">Approximately</w:t>
      </w:r>
      <w:r>
        <w:t xml:space="preserve"> </w:t>
      </w:r>
      <w:r>
        <w:rPr>
          <w:b/>
          <w:bCs/>
        </w:rPr>
        <w:t xml:space="preserve">13% of Kraft Heinz’s U.S. retail business comes from SNAP households</w:t>
      </w:r>
      <w:r>
        <w:t xml:space="preserve">, versus about 11% for the broader industry. Management has incorporated an approximately</w:t>
      </w:r>
      <w:r>
        <w:t xml:space="preserve"> </w:t>
      </w:r>
      <w:r>
        <w:rPr>
          <w:b/>
          <w:bCs/>
        </w:rPr>
        <w:t xml:space="preserve">100-basis-point full-year organic-sales headwind</w:t>
      </w:r>
      <w:r>
        <w:t xml:space="preserve"> </w:t>
      </w:r>
      <w:r>
        <w:t xml:space="preserve">from lower SNAP funding.</w:t>
      </w:r>
    </w:p>
    <w:p>
      <w:pPr>
        <w:pStyle w:val="BodyText"/>
      </w:pPr>
      <w:r>
        <w:t xml:space="preserve">The company was already seeing reduced SNAP transactions in February and March, but stronger spending from non-SNAP households partially offset the effect in Q1. Management did not assume that offset would continue and expected SNAP pressure to become more visible beginning in Q2.</w:t>
      </w:r>
    </w:p>
    <w:p>
      <w:pPr>
        <w:pStyle w:val="BodyText"/>
      </w:pPr>
      <w:r>
        <w:t xml:space="preserve">Kraft Heinz’s mitigation efforts include:</w:t>
      </w:r>
    </w:p>
    <w:p>
      <w:pPr>
        <w:pStyle w:val="Compact"/>
        <w:numPr>
          <w:ilvl w:val="0"/>
          <w:numId w:val="1007"/>
        </w:numPr>
      </w:pPr>
      <w:r>
        <w:t xml:space="preserve">Lower opening price points</w:t>
      </w:r>
    </w:p>
    <w:p>
      <w:pPr>
        <w:pStyle w:val="Compact"/>
        <w:numPr>
          <w:ilvl w:val="0"/>
          <w:numId w:val="1007"/>
        </w:numPr>
      </w:pPr>
      <w:r>
        <w:t xml:space="preserve">Smaller or more affordable package sizes</w:t>
      </w:r>
    </w:p>
    <w:p>
      <w:pPr>
        <w:pStyle w:val="Compact"/>
        <w:numPr>
          <w:ilvl w:val="0"/>
          <w:numId w:val="1007"/>
        </w:numPr>
      </w:pPr>
      <w:r>
        <w:t xml:space="preserve">Selective base-price adjustments</w:t>
      </w:r>
    </w:p>
    <w:p>
      <w:pPr>
        <w:pStyle w:val="Compact"/>
        <w:numPr>
          <w:ilvl w:val="0"/>
          <w:numId w:val="1007"/>
        </w:numPr>
      </w:pPr>
      <w:r>
        <w:t xml:space="preserve">More targeted promotions</w:t>
      </w:r>
    </w:p>
    <w:p>
      <w:pPr>
        <w:pStyle w:val="Compact"/>
        <w:numPr>
          <w:ilvl w:val="0"/>
          <w:numId w:val="1007"/>
        </w:numPr>
      </w:pPr>
      <w:r>
        <w:t xml:space="preserve">Price-pack architecture changes</w:t>
      </w:r>
    </w:p>
    <w:p>
      <w:pPr>
        <w:pStyle w:val="FirstParagraph"/>
      </w:pPr>
      <w:r>
        <w:t xml:space="preserve">The critical question is whether these actions are preserving household penetration or merely reducing revenue and margins without materially improving units.</w:t>
      </w:r>
    </w:p>
    <w:p>
      <w:r>
        <w:pict>
          <v:rect style="width:0;height:1.5pt" o:hralign="center" o:hrstd="t" o:hr="t"/>
        </w:pict>
      </w:r>
    </w:p>
    <w:bookmarkEnd w:id="16"/>
    <w:bookmarkStart w:id="17" w:name="brand-and-innovation-scorecard"/>
    <w:p>
      <w:pPr>
        <w:pStyle w:val="Heading2"/>
      </w:pPr>
      <w:r>
        <w:t xml:space="preserve">Brand and innovation scorecard</w:t>
      </w:r>
    </w:p>
    <w:p>
      <w:pPr>
        <w:pStyle w:val="FirstParagraph"/>
      </w:pPr>
      <w:r>
        <w:t xml:space="preserve">Management has several initiatives that should begin contributing during the second quarter or second half:</w:t>
      </w:r>
    </w:p>
    <w:p>
      <w:pPr>
        <w:pStyle w:val="Compact"/>
        <w:numPr>
          <w:ilvl w:val="0"/>
          <w:numId w:val="1008"/>
        </w:numPr>
      </w:pPr>
      <w:r>
        <w:rPr>
          <w:b/>
          <w:bCs/>
        </w:rPr>
        <w:t xml:space="preserve">PowerMac &amp; Cheese:</w:t>
      </w:r>
      <w:r>
        <w:t xml:space="preserve"> </w:t>
      </w:r>
      <w:r>
        <w:t xml:space="preserve">Management cited initial sell-in to approximately 35,000 accounts.</w:t>
      </w:r>
    </w:p>
    <w:p>
      <w:pPr>
        <w:pStyle w:val="Compact"/>
        <w:numPr>
          <w:ilvl w:val="0"/>
          <w:numId w:val="1008"/>
        </w:numPr>
      </w:pPr>
      <w:r>
        <w:rPr>
          <w:b/>
          <w:bCs/>
        </w:rPr>
        <w:t xml:space="preserve">Capri Sun Hydrate:</w:t>
      </w:r>
      <w:r>
        <w:t xml:space="preserve"> </w:t>
      </w:r>
      <w:r>
        <w:t xml:space="preserve">Part of the decision to elevate Hydration to a “Win Big” platform.</w:t>
      </w:r>
    </w:p>
    <w:p>
      <w:pPr>
        <w:pStyle w:val="Compact"/>
        <w:numPr>
          <w:ilvl w:val="0"/>
          <w:numId w:val="1008"/>
        </w:numPr>
      </w:pPr>
      <w:r>
        <w:rPr>
          <w:b/>
          <w:bCs/>
        </w:rPr>
        <w:t xml:space="preserve">Lunchables renovation:</w:t>
      </w:r>
      <w:r>
        <w:t xml:space="preserve"> </w:t>
      </w:r>
      <w:r>
        <w:t xml:space="preserve">Intended to build on the brand’s stabilization entering 2026.</w:t>
      </w:r>
    </w:p>
    <w:p>
      <w:pPr>
        <w:pStyle w:val="Compact"/>
        <w:numPr>
          <w:ilvl w:val="0"/>
          <w:numId w:val="1008"/>
        </w:numPr>
      </w:pPr>
      <w:r>
        <w:rPr>
          <w:b/>
          <w:bCs/>
        </w:rPr>
        <w:t xml:space="preserve">Ore-Ida shapes innovation</w:t>
      </w:r>
    </w:p>
    <w:p>
      <w:pPr>
        <w:pStyle w:val="Compact"/>
        <w:numPr>
          <w:ilvl w:val="0"/>
          <w:numId w:val="1008"/>
        </w:numPr>
      </w:pPr>
      <w:r>
        <w:rPr>
          <w:b/>
          <w:bCs/>
        </w:rPr>
        <w:t xml:space="preserve">Philadelphia lactose-free:</w:t>
      </w:r>
      <w:r>
        <w:t xml:space="preserve"> </w:t>
      </w:r>
      <w:r>
        <w:t xml:space="preserve">Expected to receive support in the second half.</w:t>
      </w:r>
    </w:p>
    <w:p>
      <w:pPr>
        <w:pStyle w:val="Compact"/>
        <w:numPr>
          <w:ilvl w:val="0"/>
          <w:numId w:val="1008"/>
        </w:numPr>
      </w:pPr>
      <w:r>
        <w:t xml:space="preserve">Continued investment behind</w:t>
      </w:r>
      <w:r>
        <w:t xml:space="preserve"> </w:t>
      </w:r>
      <w:r>
        <w:rPr>
          <w:b/>
          <w:bCs/>
        </w:rPr>
        <w:t xml:space="preserve">Heinz sauces</w:t>
      </w:r>
      <w:r>
        <w:t xml:space="preserve"> </w:t>
      </w:r>
      <w:r>
        <w:t xml:space="preserve">and</w:t>
      </w:r>
      <w:r>
        <w:t xml:space="preserve"> </w:t>
      </w:r>
      <w:r>
        <w:rPr>
          <w:b/>
          <w:bCs/>
        </w:rPr>
        <w:t xml:space="preserve">Philadelphia cream cheese</w:t>
      </w:r>
    </w:p>
    <w:p>
      <w:pPr>
        <w:pStyle w:val="FirstParagraph"/>
      </w:pPr>
      <w:r>
        <w:t xml:space="preserve">The company has also become more selective about where it believes it can win:</w:t>
      </w:r>
    </w:p>
    <w:p>
      <w:pPr>
        <w:pStyle w:val="Compact"/>
        <w:numPr>
          <w:ilvl w:val="0"/>
          <w:numId w:val="1009"/>
        </w:numPr>
      </w:pPr>
      <w:r>
        <w:rPr>
          <w:b/>
          <w:bCs/>
        </w:rPr>
        <w:t xml:space="preserve">Hydration:</w:t>
      </w:r>
      <w:r>
        <w:t xml:space="preserve"> </w:t>
      </w:r>
      <w:r>
        <w:t xml:space="preserve">moved from “Win” to “Win Big.”</w:t>
      </w:r>
    </w:p>
    <w:p>
      <w:pPr>
        <w:pStyle w:val="Compact"/>
        <w:numPr>
          <w:ilvl w:val="0"/>
          <w:numId w:val="1009"/>
        </w:numPr>
      </w:pPr>
      <w:r>
        <w:rPr>
          <w:b/>
          <w:bCs/>
        </w:rPr>
        <w:t xml:space="preserve">Cheese:</w:t>
      </w:r>
      <w:r>
        <w:t xml:space="preserve"> </w:t>
      </w:r>
      <w:r>
        <w:t xml:space="preserve">moved from “Hold” to “Win.”</w:t>
      </w:r>
    </w:p>
    <w:p>
      <w:pPr>
        <w:pStyle w:val="Compact"/>
        <w:numPr>
          <w:ilvl w:val="0"/>
          <w:numId w:val="1009"/>
        </w:numPr>
      </w:pPr>
      <w:r>
        <w:rPr>
          <w:b/>
          <w:bCs/>
        </w:rPr>
        <w:t xml:space="preserve">Frozen:</w:t>
      </w:r>
      <w:r>
        <w:t xml:space="preserve"> </w:t>
      </w:r>
      <w:r>
        <w:t xml:space="preserve">moved from “Win Big” to “Hold.”</w:t>
      </w:r>
    </w:p>
    <w:p>
      <w:pPr>
        <w:pStyle w:val="FirstParagraph"/>
      </w:pPr>
      <w:r>
        <w:t xml:space="preserve">This quarter should provide early evidence about whether management is allocating capital more rationally across the portfolio. Commentary on distribution gains and repeat purchases would be more valuable than initial shipment figures alone.</w:t>
      </w:r>
    </w:p>
    <w:p>
      <w:r>
        <w:pict>
          <v:rect style="width:0;height:1.5pt" o:hralign="center" o:hrstd="t" o:hr="t"/>
        </w:pict>
      </w:r>
    </w:p>
    <w:bookmarkEnd w:id="17"/>
    <w:bookmarkStart w:id="20" w:name="X4881a9c5d8b870b63ea4b0da28c66760ab31266"/>
    <w:p>
      <w:pPr>
        <w:pStyle w:val="Heading2"/>
      </w:pPr>
      <w:r>
        <w:t xml:space="preserve">Margin pressure is the biggest risk to guidance</w:t>
      </w:r>
    </w:p>
    <w:p>
      <w:pPr>
        <w:pStyle w:val="FirstParagraph"/>
      </w:pPr>
      <w:r>
        <w:t xml:space="preserve">Q1 adjusted gross margin was</w:t>
      </w:r>
      <w:r>
        <w:t xml:space="preserve"> </w:t>
      </w:r>
      <w:r>
        <w:rPr>
          <w:b/>
          <w:bCs/>
        </w:rPr>
        <w:t xml:space="preserve">34.1%, down 30 basis points</w:t>
      </w:r>
      <w:r>
        <w:t xml:space="preserve">, and adjusted operating income declined 11.8%. The gross-margin result was better than feared, but it benefited from approximately 40–50 basis points of items management said would not recur, including excess byproduct sales and maintenance timing.</w:t>
      </w:r>
    </w:p>
    <w:p>
      <w:pPr>
        <w:pStyle w:val="BodyText"/>
      </w:pPr>
      <w:r>
        <w:t xml:space="preserve">For 2026, Kraft Heinz has guided to:</w:t>
      </w:r>
    </w:p>
    <w:p>
      <w:pPr>
        <w:pStyle w:val="Compact"/>
        <w:numPr>
          <w:ilvl w:val="0"/>
          <w:numId w:val="1010"/>
        </w:numPr>
      </w:pPr>
      <w:r>
        <w:rPr>
          <w:b/>
          <w:bCs/>
        </w:rPr>
        <w:t xml:space="preserve">Adjusted gross margin down 25–75 basis points</w:t>
      </w:r>
    </w:p>
    <w:p>
      <w:pPr>
        <w:pStyle w:val="Compact"/>
        <w:numPr>
          <w:ilvl w:val="0"/>
          <w:numId w:val="1010"/>
        </w:numPr>
      </w:pPr>
      <w:r>
        <w:rPr>
          <w:b/>
          <w:bCs/>
        </w:rPr>
        <w:t xml:space="preserve">Constant-currency adjusted operating income down 14%–18%</w:t>
      </w:r>
    </w:p>
    <w:p>
      <w:pPr>
        <w:pStyle w:val="Compact"/>
        <w:numPr>
          <w:ilvl w:val="0"/>
          <w:numId w:val="1010"/>
        </w:numPr>
      </w:pPr>
      <w:r>
        <w:t xml:space="preserve">Approximately</w:t>
      </w:r>
      <w:r>
        <w:t xml:space="preserve"> </w:t>
      </w:r>
      <w:r>
        <w:rPr>
          <w:b/>
          <w:bCs/>
        </w:rPr>
        <w:t xml:space="preserve">$600 million of incremental investment</w:t>
      </w:r>
    </w:p>
    <w:bookmarkStart w:id="18" w:name="inflation-has-become-less-favorable"/>
    <w:p>
      <w:pPr>
        <w:pStyle w:val="Heading3"/>
      </w:pPr>
      <w:r>
        <w:t xml:space="preserve">Inflation has become less favorable</w:t>
      </w:r>
    </w:p>
    <w:p>
      <w:pPr>
        <w:pStyle w:val="FirstParagraph"/>
      </w:pPr>
      <w:r>
        <w:t xml:space="preserve">Management initially expected roughly 4% inflation but subsequently cited additional pressure from energy and resin costs. Kraft Heinz was:</w:t>
      </w:r>
    </w:p>
    <w:p>
      <w:pPr>
        <w:pStyle w:val="Compact"/>
        <w:numPr>
          <w:ilvl w:val="0"/>
          <w:numId w:val="1011"/>
        </w:numPr>
      </w:pPr>
      <w:r>
        <w:t xml:space="preserve">Hedged on energy for 2026</w:t>
      </w:r>
    </w:p>
    <w:p>
      <w:pPr>
        <w:pStyle w:val="Compact"/>
        <w:numPr>
          <w:ilvl w:val="0"/>
          <w:numId w:val="1011"/>
        </w:numPr>
      </w:pPr>
      <w:r>
        <w:t xml:space="preserve">Hedged on resins through approximately mid-Q3</w:t>
      </w:r>
    </w:p>
    <w:p>
      <w:pPr>
        <w:pStyle w:val="Compact"/>
        <w:numPr>
          <w:ilvl w:val="0"/>
          <w:numId w:val="1011"/>
        </w:numPr>
      </w:pPr>
      <w:r>
        <w:t xml:space="preserve">Expecting more inflation pressure to emerge beginning in Q3 if conditions persisted</w:t>
      </w:r>
    </w:p>
    <w:p>
      <w:pPr>
        <w:pStyle w:val="FirstParagraph"/>
      </w:pPr>
      <w:r>
        <w:t xml:space="preserve">The company had incorporated pricing sufficient to offset only about</w:t>
      </w:r>
      <w:r>
        <w:t xml:space="preserve"> </w:t>
      </w:r>
      <w:r>
        <w:rPr>
          <w:b/>
          <w:bCs/>
        </w:rPr>
        <w:t xml:space="preserve">20% of inflation</w:t>
      </w:r>
      <w:r>
        <w:t xml:space="preserve">, reflecting management’s reluctance to place further strain on consumers. The remaining defense is primarily productivity, which ran above 4% of cost of goods sold in Q1.</w:t>
      </w:r>
    </w:p>
    <w:bookmarkEnd w:id="18"/>
    <w:bookmarkStart w:id="19" w:name="questions-investors-need-answered"/>
    <w:p>
      <w:pPr>
        <w:pStyle w:val="Heading3"/>
      </w:pPr>
      <w:r>
        <w:t xml:space="preserve">Questions investors need answered</w:t>
      </w:r>
    </w:p>
    <w:p>
      <w:pPr>
        <w:pStyle w:val="Compact"/>
        <w:numPr>
          <w:ilvl w:val="0"/>
          <w:numId w:val="1012"/>
        </w:numPr>
      </w:pPr>
      <w:r>
        <w:t xml:space="preserve">Has the inflation outlook worsened since May?</w:t>
      </w:r>
    </w:p>
    <w:p>
      <w:pPr>
        <w:pStyle w:val="Compact"/>
        <w:numPr>
          <w:ilvl w:val="0"/>
          <w:numId w:val="1012"/>
        </w:numPr>
      </w:pPr>
      <w:r>
        <w:t xml:space="preserve">Is the company still comfortable with the 25–75 basis-point gross-margin decline?</w:t>
      </w:r>
    </w:p>
    <w:p>
      <w:pPr>
        <w:pStyle w:val="Compact"/>
        <w:numPr>
          <w:ilvl w:val="0"/>
          <w:numId w:val="1012"/>
        </w:numPr>
      </w:pPr>
      <w:r>
        <w:t xml:space="preserve">Will higher resin and energy costs require additional pricing?</w:t>
      </w:r>
    </w:p>
    <w:p>
      <w:pPr>
        <w:pStyle w:val="Compact"/>
        <w:numPr>
          <w:ilvl w:val="0"/>
          <w:numId w:val="1012"/>
        </w:numPr>
      </w:pPr>
      <w:r>
        <w:t xml:space="preserve">Can productivity remain above 4% of COGS?</w:t>
      </w:r>
    </w:p>
    <w:p>
      <w:pPr>
        <w:pStyle w:val="Compact"/>
        <w:numPr>
          <w:ilvl w:val="0"/>
          <w:numId w:val="1012"/>
        </w:numPr>
      </w:pPr>
      <w:r>
        <w:t xml:space="preserve">Are promotions and lower price points producing enough incremental volume?</w:t>
      </w:r>
    </w:p>
    <w:p>
      <w:pPr>
        <w:pStyle w:val="Compact"/>
        <w:numPr>
          <w:ilvl w:val="0"/>
          <w:numId w:val="1012"/>
        </w:numPr>
      </w:pPr>
      <w:r>
        <w:t xml:space="preserve">Will management protect the $600 million investment program if costs rise?</w:t>
      </w:r>
    </w:p>
    <w:p>
      <w:pPr>
        <w:pStyle w:val="FirstParagraph"/>
      </w:pPr>
      <w:r>
        <w:t xml:space="preserve">A cut to operating-income guidance due to inflation would likely overshadow an in-line Q2, particularly because the heaviest investment and cost pressure appears to sit in the second half.</w:t>
      </w:r>
    </w:p>
    <w:p>
      <w:r>
        <w:pict>
          <v:rect style="width:0;height:1.5pt" o:hralign="center" o:hrstd="t" o:hr="t"/>
        </w:pict>
      </w:r>
    </w:p>
    <w:bookmarkEnd w:id="19"/>
    <w:bookmarkEnd w:id="20"/>
    <w:bookmarkStart w:id="21" w:name="X8be76722ba2104b096e117cfca54fc224a93f81"/>
    <w:p>
      <w:pPr>
        <w:pStyle w:val="Heading2"/>
      </w:pPr>
      <w:r>
        <w:t xml:space="preserve">Full-year guidance: reaffirmation is necessary, but details matter</w:t>
      </w:r>
    </w:p>
    <w:p>
      <w:pPr>
        <w:pStyle w:val="FirstParagraph"/>
      </w:pPr>
      <w:r>
        <w:t xml:space="preserve">Kraft Heinz’s existing 2026 outlook calls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2026 guidance</w:t>
            </w:r>
          </w:p>
        </w:tc>
      </w:tr>
      <w:tr>
        <w:tc>
          <w:tcPr/>
          <w:p>
            <w:pPr>
              <w:pStyle w:val="Compact"/>
            </w:pPr>
            <w:r>
              <w:t xml:space="preserve">Organic net sales</w:t>
            </w:r>
          </w:p>
        </w:tc>
        <w:tc>
          <w:tcPr/>
          <w:p>
            <w:pPr>
              <w:pStyle w:val="Compact"/>
              <w:jc w:val="right"/>
            </w:pPr>
            <w:r>
              <w:rPr>
                <w:b/>
                <w:bCs/>
              </w:rPr>
              <w:t xml:space="preserve">-1.5% to -3.5%</w:t>
            </w:r>
          </w:p>
        </w:tc>
      </w:tr>
      <w:tr>
        <w:tc>
          <w:tcPr/>
          <w:p>
            <w:pPr>
              <w:pStyle w:val="Compact"/>
            </w:pPr>
            <w:r>
              <w:t xml:space="preserve">Constant-currency adjusted operating income</w:t>
            </w:r>
          </w:p>
        </w:tc>
        <w:tc>
          <w:tcPr/>
          <w:p>
            <w:pPr>
              <w:pStyle w:val="Compact"/>
              <w:jc w:val="right"/>
            </w:pPr>
            <w:r>
              <w:rPr>
                <w:b/>
                <w:bCs/>
              </w:rPr>
              <w:t xml:space="preserve">-14% to -18%</w:t>
            </w:r>
          </w:p>
        </w:tc>
      </w:tr>
      <w:tr>
        <w:tc>
          <w:tcPr/>
          <w:p>
            <w:pPr>
              <w:pStyle w:val="Compact"/>
            </w:pPr>
            <w:r>
              <w:t xml:space="preserve">Adjusted gross margin</w:t>
            </w:r>
          </w:p>
        </w:tc>
        <w:tc>
          <w:tcPr/>
          <w:p>
            <w:pPr>
              <w:pStyle w:val="Compact"/>
              <w:jc w:val="right"/>
            </w:pPr>
            <w:r>
              <w:rPr>
                <w:b/>
                <w:bCs/>
              </w:rPr>
              <w:t xml:space="preserve">Down 25–75 bps</w:t>
            </w:r>
          </w:p>
        </w:tc>
      </w:tr>
      <w:tr>
        <w:tc>
          <w:tcPr/>
          <w:p>
            <w:pPr>
              <w:pStyle w:val="Compact"/>
            </w:pPr>
            <w:r>
              <w:t xml:space="preserve">Adjusted EPS</w:t>
            </w:r>
          </w:p>
        </w:tc>
        <w:tc>
          <w:tcPr/>
          <w:p>
            <w:pPr>
              <w:pStyle w:val="Compact"/>
              <w:jc w:val="right"/>
            </w:pPr>
            <m:oMath>
              <m:r>
                <m:t>1.98</m:t>
              </m:r>
              <m:r>
                <m:rPr>
                  <m:sty m:val="p"/>
                </m:rPr>
                <m:t>–</m:t>
              </m:r>
            </m:oMath>
            <w:r>
              <w:rPr>
                <w:b/>
                <w:bCs/>
              </w:rPr>
              <w:t xml:space="preserve">2.10</w:t>
            </w:r>
          </w:p>
        </w:tc>
      </w:tr>
      <w:tr>
        <w:tc>
          <w:tcPr/>
          <w:p>
            <w:pPr>
              <w:pStyle w:val="Compact"/>
            </w:pPr>
            <w:r>
              <w:t xml:space="preserve">Free-cash-flow conversion</w:t>
            </w:r>
          </w:p>
        </w:tc>
        <w:tc>
          <w:tcPr/>
          <w:p>
            <w:pPr>
              <w:pStyle w:val="Compact"/>
              <w:jc w:val="right"/>
            </w:pPr>
            <w:r>
              <w:t xml:space="preserve">Approximately</w:t>
            </w:r>
            <w:r>
              <w:t xml:space="preserve"> </w:t>
            </w:r>
            <w:r>
              <w:rPr>
                <w:b/>
                <w:bCs/>
              </w:rPr>
              <w:t xml:space="preserve">100%</w:t>
            </w:r>
          </w:p>
        </w:tc>
      </w:tr>
    </w:tbl>
    <w:p>
      <w:pPr>
        <w:pStyle w:val="BodyText"/>
      </w:pPr>
      <w:r>
        <w:t xml:space="preserve">The company earned $0.58 of adjusted EPS in Q1. At the Q2 consensus of $0.53, first-half EPS would be roughly $1.11, leaving approximately</w:t>
      </w:r>
      <w:r>
        <w:t xml:space="preserve"> </w:t>
      </w:r>
      <m:oMath>
        <m:r>
          <m:t>0.87</m:t>
        </m:r>
        <m:r>
          <m:rPr>
            <m:sty m:val="p"/>
          </m:rPr>
          <m:t>–</m:t>
        </m:r>
      </m:oMath>
      <w:r>
        <w:t xml:space="preserve">0.99 required in the second half to meet guidance.</w:t>
      </w:r>
    </w:p>
    <w:p>
      <w:pPr>
        <w:pStyle w:val="BodyText"/>
      </w:pPr>
      <w:r>
        <w:t xml:space="preserve">That appears arithmetically achievable, but the second half will carry:</w:t>
      </w:r>
    </w:p>
    <w:p>
      <w:pPr>
        <w:pStyle w:val="Compact"/>
        <w:numPr>
          <w:ilvl w:val="0"/>
          <w:numId w:val="1013"/>
        </w:numPr>
      </w:pPr>
      <w:r>
        <w:t xml:space="preserve">More of the $600 million investment</w:t>
      </w:r>
    </w:p>
    <w:p>
      <w:pPr>
        <w:pStyle w:val="Compact"/>
        <w:numPr>
          <w:ilvl w:val="0"/>
          <w:numId w:val="1013"/>
        </w:numPr>
      </w:pPr>
      <w:r>
        <w:t xml:space="preserve">Potentially higher resin and energy costs</w:t>
      </w:r>
    </w:p>
    <w:p>
      <w:pPr>
        <w:pStyle w:val="Compact"/>
        <w:numPr>
          <w:ilvl w:val="0"/>
          <w:numId w:val="1013"/>
        </w:numPr>
      </w:pPr>
      <w:r>
        <w:t xml:space="preserve">Continued consumer pressure</w:t>
      </w:r>
    </w:p>
    <w:p>
      <w:pPr>
        <w:pStyle w:val="Compact"/>
        <w:numPr>
          <w:ilvl w:val="0"/>
          <w:numId w:val="1013"/>
        </w:numPr>
      </w:pPr>
      <w:r>
        <w:t xml:space="preserve">The need to show a better sales trajectory despite those expenses</w:t>
      </w:r>
    </w:p>
    <w:p>
      <w:pPr>
        <w:pStyle w:val="FirstParagraph"/>
      </w:pPr>
      <w:r>
        <w:t xml:space="preserve">The best outcome would be guidance reaffirmation accompanied by better market-share trends and confidence that organic sales can finish toward the upper half of the range. A bare reaffirmation with rising cost risk and no improvement in volume would be less reassuring.</w:t>
      </w:r>
    </w:p>
    <w:p>
      <w:r>
        <w:pict>
          <v:rect style="width:0;height:1.5pt" o:hralign="center" o:hrstd="t" o:hr="t"/>
        </w:pict>
      </w:r>
    </w:p>
    <w:bookmarkEnd w:id="21"/>
    <w:bookmarkStart w:id="22" w:name="X05a6c03b6a48f6cb5df2fd170b97f81378dda15"/>
    <w:p>
      <w:pPr>
        <w:pStyle w:val="Heading2"/>
      </w:pPr>
      <w:r>
        <w:t xml:space="preserve">International operations could provide an offset</w:t>
      </w:r>
    </w:p>
    <w:p>
      <w:pPr>
        <w:pStyle w:val="FirstParagraph"/>
      </w:pPr>
      <w:r>
        <w:t xml:space="preserve">International markets offer a more favorable mix of growth opportunities than the U.S.</w:t>
      </w:r>
    </w:p>
    <w:p>
      <w:pPr>
        <w:pStyle w:val="BodyText"/>
      </w:pPr>
      <w:r>
        <w:t xml:space="preserve">In Q1:</w:t>
      </w:r>
    </w:p>
    <w:p>
      <w:pPr>
        <w:pStyle w:val="Compact"/>
        <w:numPr>
          <w:ilvl w:val="0"/>
          <w:numId w:val="1014"/>
        </w:numPr>
      </w:pPr>
      <w:r>
        <w:t xml:space="preserve">International Developed Markets organic sales declined 0.1%.</w:t>
      </w:r>
    </w:p>
    <w:p>
      <w:pPr>
        <w:pStyle w:val="Compact"/>
        <w:numPr>
          <w:ilvl w:val="0"/>
          <w:numId w:val="1014"/>
        </w:numPr>
      </w:pPr>
      <w:r>
        <w:t xml:space="preserve">Emerging Markets organic sales increased 3.8%.</w:t>
      </w:r>
    </w:p>
    <w:p>
      <w:pPr>
        <w:pStyle w:val="Compact"/>
        <w:numPr>
          <w:ilvl w:val="0"/>
          <w:numId w:val="1014"/>
        </w:numPr>
      </w:pPr>
      <w:r>
        <w:t xml:space="preserve">Emerging Markets volume/mix declined 0.6%, with pricing contributing 4.4 percentage points.</w:t>
      </w:r>
    </w:p>
    <w:p>
      <w:pPr>
        <w:pStyle w:val="Compact"/>
        <w:numPr>
          <w:ilvl w:val="0"/>
          <w:numId w:val="1014"/>
        </w:numPr>
      </w:pPr>
      <w:r>
        <w:t xml:space="preserve">Indonesia alone reduced consolidated Q1 organic growth by approximately 70 basis points.</w:t>
      </w:r>
    </w:p>
    <w:p>
      <w:pPr>
        <w:pStyle w:val="FirstParagraph"/>
      </w:pPr>
      <w:r>
        <w:t xml:space="preserve">Management expects the Indonesia headwind to disappear in the second half as prior business adjustments are lapped. It also expects support from:</w:t>
      </w:r>
    </w:p>
    <w:p>
      <w:pPr>
        <w:pStyle w:val="Compact"/>
        <w:numPr>
          <w:ilvl w:val="0"/>
          <w:numId w:val="1015"/>
        </w:numPr>
      </w:pPr>
      <w:r>
        <w:t xml:space="preserve">Continued emerging-market expansion</w:t>
      </w:r>
    </w:p>
    <w:p>
      <w:pPr>
        <w:pStyle w:val="Compact"/>
        <w:numPr>
          <w:ilvl w:val="0"/>
          <w:numId w:val="1015"/>
        </w:numPr>
      </w:pPr>
      <w:r>
        <w:t xml:space="preserve">Investment behind Heinz in Europe</w:t>
      </w:r>
    </w:p>
    <w:p>
      <w:pPr>
        <w:pStyle w:val="Compact"/>
        <w:numPr>
          <w:ilvl w:val="0"/>
          <w:numId w:val="1015"/>
        </w:numPr>
      </w:pPr>
      <w:r>
        <w:t xml:space="preserve">Improving Away From Home share</w:t>
      </w:r>
    </w:p>
    <w:p>
      <w:pPr>
        <w:pStyle w:val="Compact"/>
        <w:numPr>
          <w:ilvl w:val="0"/>
          <w:numId w:val="1015"/>
        </w:numPr>
      </w:pPr>
      <w:r>
        <w:t xml:space="preserve">International white-space opportunities</w:t>
      </w:r>
    </w:p>
    <w:p>
      <w:pPr>
        <w:pStyle w:val="FirstParagraph"/>
      </w:pPr>
      <w:r>
        <w:t xml:space="preserve">A stronger international result could cushion North American weakness, although investors will probably remain focused on the U.S. turnaround.</w:t>
      </w:r>
    </w:p>
    <w:p>
      <w:r>
        <w:pict>
          <v:rect style="width:0;height:1.5pt" o:hralign="center" o:hrstd="t" o:hr="t"/>
        </w:pict>
      </w:r>
    </w:p>
    <w:bookmarkEnd w:id="22"/>
    <w:bookmarkStart w:id="23" w:name="cash-flow-leverage-and-the-dividend"/>
    <w:p>
      <w:pPr>
        <w:pStyle w:val="Heading2"/>
      </w:pPr>
      <w:r>
        <w:t xml:space="preserve">Cash flow, leverage, and the dividend</w:t>
      </w:r>
    </w:p>
    <w:p>
      <w:pPr>
        <w:pStyle w:val="FirstParagraph"/>
      </w:pPr>
      <w:r>
        <w:t xml:space="preserve">Kraft Heinz remains a strong cash generator despite declining earnings:</w:t>
      </w:r>
    </w:p>
    <w:p>
      <w:pPr>
        <w:pStyle w:val="Compact"/>
        <w:numPr>
          <w:ilvl w:val="0"/>
          <w:numId w:val="1016"/>
        </w:numPr>
      </w:pPr>
      <w:r>
        <w:t xml:space="preserve">Q1 free cash flow was</w:t>
      </w:r>
      <w:r>
        <w:t xml:space="preserve"> </w:t>
      </w:r>
      <w:r>
        <w:rPr>
          <w:b/>
          <w:bCs/>
        </w:rPr>
        <w:t xml:space="preserve">$766 million</w:t>
      </w:r>
      <w:r>
        <w:t xml:space="preserve">, up from $482 million.</w:t>
      </w:r>
    </w:p>
    <w:p>
      <w:pPr>
        <w:pStyle w:val="Compact"/>
        <w:numPr>
          <w:ilvl w:val="0"/>
          <w:numId w:val="1016"/>
        </w:numPr>
      </w:pPr>
      <w:r>
        <w:t xml:space="preserve">Free-cash-flow conversion was</w:t>
      </w:r>
      <w:r>
        <w:t xml:space="preserve"> </w:t>
      </w:r>
      <w:r>
        <w:rPr>
          <w:b/>
          <w:bCs/>
        </w:rPr>
        <w:t xml:space="preserve">111%</w:t>
      </w:r>
      <w:r>
        <w:t xml:space="preserve">.</w:t>
      </w:r>
    </w:p>
    <w:p>
      <w:pPr>
        <w:pStyle w:val="Compact"/>
        <w:numPr>
          <w:ilvl w:val="0"/>
          <w:numId w:val="1016"/>
        </w:numPr>
      </w:pPr>
      <w:r>
        <w:t xml:space="preserve">Cash and marketable securities totaled approximately</w:t>
      </w:r>
      <w:r>
        <w:t xml:space="preserve"> </w:t>
      </w:r>
      <w:r>
        <w:rPr>
          <w:b/>
          <w:bCs/>
        </w:rPr>
        <w:t xml:space="preserve">$4.1 billion</w:t>
      </w:r>
      <w:r>
        <w:t xml:space="preserve"> </w:t>
      </w:r>
      <w:r>
        <w:t xml:space="preserve">at quarter-end.</w:t>
      </w:r>
    </w:p>
    <w:p>
      <w:pPr>
        <w:pStyle w:val="Compact"/>
        <w:numPr>
          <w:ilvl w:val="0"/>
          <w:numId w:val="1016"/>
        </w:numPr>
      </w:pPr>
      <w:r>
        <w:t xml:space="preserve">The company had approximately</w:t>
      </w:r>
      <w:r>
        <w:t xml:space="preserve"> </w:t>
      </w:r>
      <w:r>
        <w:rPr>
          <w:b/>
          <w:bCs/>
        </w:rPr>
        <w:t xml:space="preserve">$21.1 billion of total debt</w:t>
      </w:r>
      <w:r>
        <w:t xml:space="preserve">, including $1.9 billion classified as current.</w:t>
      </w:r>
    </w:p>
    <w:p>
      <w:pPr>
        <w:pStyle w:val="FirstParagraph"/>
      </w:pPr>
      <w:r>
        <w:t xml:space="preserve">Management planned to repay Q2 maturities and was considering the early repayment of part of the approximately $1.9 billion due in 2027. Buybacks have become a lower priority while the company funds the turnaround and targets leverage of approximately three times.</w:t>
      </w:r>
    </w:p>
    <w:p>
      <w:pPr>
        <w:pStyle w:val="BodyText"/>
      </w:pPr>
      <w:r>
        <w:t xml:space="preserve">At the August 4 closing price of</w:t>
      </w:r>
      <w:r>
        <w:t xml:space="preserve"> </w:t>
      </w:r>
      <w:r>
        <w:rPr>
          <w:b/>
          <w:bCs/>
        </w:rPr>
        <w:t xml:space="preserve">$26.66</w:t>
      </w:r>
      <w:r>
        <w:t xml:space="preserve">, the shares trade at roughly</w:t>
      </w:r>
      <w:r>
        <w:t xml:space="preserve"> </w:t>
      </w:r>
      <w:r>
        <w:rPr>
          <w:b/>
          <w:bCs/>
        </w:rPr>
        <w:t xml:space="preserve">12.7–13.5 times</w:t>
      </w:r>
      <w:r>
        <w:t xml:space="preserve"> </w:t>
      </w:r>
      <w:r>
        <w:t xml:space="preserve">management’s 2026 EPS range. Based on the longstanding $0.40 quarterly dividend, the annualized yield is approximately</w:t>
      </w:r>
      <w:r>
        <w:t xml:space="preserve"> </w:t>
      </w:r>
      <w:r>
        <w:rPr>
          <w:b/>
          <w:bCs/>
        </w:rPr>
        <w:t xml:space="preserve">6%</w:t>
      </w:r>
      <w:r>
        <w:t xml:space="preserve">.</w:t>
      </w:r>
    </w:p>
    <w:p>
      <w:pPr>
        <w:pStyle w:val="BodyText"/>
      </w:pPr>
      <w:r>
        <w:t xml:space="preserve">That valuation and yield provide some support, but the stock has already risen about</w:t>
      </w:r>
      <w:r>
        <w:t xml:space="preserve"> </w:t>
      </w:r>
      <w:r>
        <w:rPr>
          <w:b/>
          <w:bCs/>
        </w:rPr>
        <w:t xml:space="preserve">10% year to date</w:t>
      </w:r>
      <w:r>
        <w:t xml:space="preserve"> </w:t>
      </w:r>
      <w:r>
        <w:t xml:space="preserve">and approximately</w:t>
      </w:r>
      <w:r>
        <w:t xml:space="preserve"> </w:t>
      </w:r>
      <w:r>
        <w:rPr>
          <w:b/>
          <w:bCs/>
        </w:rPr>
        <w:t xml:space="preserve">16% since the Q1 report</w:t>
      </w:r>
      <w:r>
        <w:t xml:space="preserve">. The market is no longer positioned solely for failure; some turnaround progress is now reflected in the price.</w:t>
      </w:r>
    </w:p>
    <w:p>
      <w:r>
        <w:pict>
          <v:rect style="width:0;height:1.5pt" o:hralign="center" o:hrstd="t" o:hr="t"/>
        </w:pict>
      </w:r>
    </w:p>
    <w:bookmarkEnd w:id="23"/>
    <w:bookmarkStart w:id="27" w:name="potential-stock-reaction-framework"/>
    <w:p>
      <w:pPr>
        <w:pStyle w:val="Heading2"/>
      </w:pPr>
      <w:r>
        <w:t xml:space="preserve">Potential stock-reaction framework</w:t>
      </w:r>
    </w:p>
    <w:bookmarkStart w:id="24" w:name="bullish-outcome"/>
    <w:p>
      <w:pPr>
        <w:pStyle w:val="Heading3"/>
      </w:pPr>
      <w:r>
        <w:t xml:space="preserve">Bullish outcome</w:t>
      </w:r>
    </w:p>
    <w:p>
      <w:pPr>
        <w:pStyle w:val="Compact"/>
        <w:numPr>
          <w:ilvl w:val="0"/>
          <w:numId w:val="1017"/>
        </w:numPr>
      </w:pPr>
      <w:r>
        <w:t xml:space="preserve">Organic sales near</w:t>
      </w:r>
      <w:r>
        <w:t xml:space="preserve"> </w:t>
      </w:r>
      <w:r>
        <w:rPr>
          <w:b/>
          <w:bCs/>
        </w:rPr>
        <w:t xml:space="preserve">-3% or better</w:t>
      </w:r>
    </w:p>
    <w:p>
      <w:pPr>
        <w:pStyle w:val="Compact"/>
        <w:numPr>
          <w:ilvl w:val="0"/>
          <w:numId w:val="1017"/>
        </w:numPr>
      </w:pPr>
      <w:r>
        <w:t xml:space="preserve">Volume meaningfully better than the approximately -4.1% consensus</w:t>
      </w:r>
    </w:p>
    <w:p>
      <w:pPr>
        <w:pStyle w:val="Compact"/>
        <w:numPr>
          <w:ilvl w:val="0"/>
          <w:numId w:val="1017"/>
        </w:numPr>
      </w:pPr>
      <w:r>
        <w:t xml:space="preserve">Continued broadening of market-share gains</w:t>
      </w:r>
    </w:p>
    <w:p>
      <w:pPr>
        <w:pStyle w:val="Compact"/>
        <w:numPr>
          <w:ilvl w:val="0"/>
          <w:numId w:val="1017"/>
        </w:numPr>
      </w:pPr>
      <w:r>
        <w:t xml:space="preserve">North American trends improve after adjusting for Easter</w:t>
      </w:r>
    </w:p>
    <w:p>
      <w:pPr>
        <w:pStyle w:val="Compact"/>
        <w:numPr>
          <w:ilvl w:val="0"/>
          <w:numId w:val="1017"/>
        </w:numPr>
      </w:pPr>
      <w:r>
        <w:t xml:space="preserve">Adjusted gross margin holds up despite reinvestment</w:t>
      </w:r>
    </w:p>
    <w:p>
      <w:pPr>
        <w:pStyle w:val="Compact"/>
        <w:numPr>
          <w:ilvl w:val="0"/>
          <w:numId w:val="1017"/>
        </w:numPr>
      </w:pPr>
      <w:r>
        <w:t xml:space="preserve">Full-year guidance reaffirmed with increased confidence</w:t>
      </w:r>
    </w:p>
    <w:p>
      <w:pPr>
        <w:pStyle w:val="Compact"/>
        <w:numPr>
          <w:ilvl w:val="0"/>
          <w:numId w:val="1017"/>
        </w:numPr>
      </w:pPr>
      <w:r>
        <w:t xml:space="preserve">Management sees no material incremental inflation beyond the existing plan</w:t>
      </w:r>
    </w:p>
    <w:p>
      <w:pPr>
        <w:pStyle w:val="Compact"/>
        <w:numPr>
          <w:ilvl w:val="0"/>
          <w:numId w:val="1017"/>
        </w:numPr>
      </w:pPr>
      <w:r>
        <w:t xml:space="preserve">Early innovations show strong distribution and repeat demand</w:t>
      </w:r>
    </w:p>
    <w:p>
      <w:pPr>
        <w:pStyle w:val="FirstParagraph"/>
      </w:pPr>
      <w:r>
        <w:t xml:space="preserve">This would support the thesis that Kraft Heinz’s brands can recover when properly funded and could shift attention toward a return to growth in 2027.</w:t>
      </w:r>
    </w:p>
    <w:bookmarkEnd w:id="24"/>
    <w:bookmarkStart w:id="25" w:name="base-case-outcome"/>
    <w:p>
      <w:pPr>
        <w:pStyle w:val="Heading3"/>
      </w:pPr>
      <w:r>
        <w:t xml:space="preserve">Base-case outcome</w:t>
      </w:r>
    </w:p>
    <w:p>
      <w:pPr>
        <w:pStyle w:val="Compact"/>
        <w:numPr>
          <w:ilvl w:val="0"/>
          <w:numId w:val="1018"/>
        </w:numPr>
      </w:pPr>
      <w:r>
        <w:t xml:space="preserve">Organic sales around</w:t>
      </w:r>
      <w:r>
        <w:t xml:space="preserve"> </w:t>
      </w:r>
      <w:r>
        <w:rPr>
          <w:b/>
          <w:bCs/>
        </w:rPr>
        <w:t xml:space="preserve">-3.5% to -4%</w:t>
      </w:r>
    </w:p>
    <w:p>
      <w:pPr>
        <w:pStyle w:val="Compact"/>
        <w:numPr>
          <w:ilvl w:val="0"/>
          <w:numId w:val="1018"/>
        </w:numPr>
      </w:pPr>
      <w:r>
        <w:t xml:space="preserve">EPS near $0.53</w:t>
      </w:r>
    </w:p>
    <w:p>
      <w:pPr>
        <w:pStyle w:val="Compact"/>
        <w:numPr>
          <w:ilvl w:val="0"/>
          <w:numId w:val="1018"/>
        </w:numPr>
      </w:pPr>
      <w:r>
        <w:t xml:space="preserve">Market-share trends improve but volume remains weak</w:t>
      </w:r>
    </w:p>
    <w:p>
      <w:pPr>
        <w:pStyle w:val="Compact"/>
        <w:numPr>
          <w:ilvl w:val="0"/>
          <w:numId w:val="1018"/>
        </w:numPr>
      </w:pPr>
      <w:r>
        <w:t xml:space="preserve">Guidance is reaffirmed</w:t>
      </w:r>
    </w:p>
    <w:p>
      <w:pPr>
        <w:pStyle w:val="Compact"/>
        <w:numPr>
          <w:ilvl w:val="0"/>
          <w:numId w:val="1018"/>
        </w:numPr>
      </w:pPr>
      <w:r>
        <w:t xml:space="preserve">Management remains cautious about inflation and the consumer</w:t>
      </w:r>
    </w:p>
    <w:p>
      <w:pPr>
        <w:pStyle w:val="Compact"/>
        <w:numPr>
          <w:ilvl w:val="0"/>
          <w:numId w:val="1018"/>
        </w:numPr>
      </w:pPr>
      <w:r>
        <w:t xml:space="preserve">Investment benefits are still described as early-stage</w:t>
      </w:r>
    </w:p>
    <w:p>
      <w:pPr>
        <w:pStyle w:val="FirstParagraph"/>
      </w:pPr>
      <w:r>
        <w:t xml:space="preserve">The stock reaction would likely depend on the tone of the call and whether second-half gross-margin risk appears contained.</w:t>
      </w:r>
    </w:p>
    <w:bookmarkEnd w:id="25"/>
    <w:bookmarkStart w:id="26" w:name="bearish-outcome"/>
    <w:p>
      <w:pPr>
        <w:pStyle w:val="Heading3"/>
      </w:pPr>
      <w:r>
        <w:t xml:space="preserve">Bearish outcome</w:t>
      </w:r>
    </w:p>
    <w:p>
      <w:pPr>
        <w:pStyle w:val="Compact"/>
        <w:numPr>
          <w:ilvl w:val="0"/>
          <w:numId w:val="1019"/>
        </w:numPr>
      </w:pPr>
      <w:r>
        <w:t xml:space="preserve">Organic sales near or below the weak end of the prior</w:t>
      </w:r>
      <w:r>
        <w:t xml:space="preserve"> </w:t>
      </w:r>
      <w:r>
        <w:rPr>
          <w:b/>
          <w:bCs/>
        </w:rPr>
        <w:t xml:space="preserve">-3% to -5%</w:t>
      </w:r>
      <w:r>
        <w:t xml:space="preserve"> </w:t>
      </w:r>
      <w:r>
        <w:t xml:space="preserve">range</w:t>
      </w:r>
    </w:p>
    <w:p>
      <w:pPr>
        <w:pStyle w:val="Compact"/>
        <w:numPr>
          <w:ilvl w:val="0"/>
          <w:numId w:val="1019"/>
        </w:numPr>
      </w:pPr>
      <w:r>
        <w:t xml:space="preserve">Volume worse than approximately -4%</w:t>
      </w:r>
    </w:p>
    <w:p>
      <w:pPr>
        <w:pStyle w:val="Compact"/>
        <w:numPr>
          <w:ilvl w:val="0"/>
          <w:numId w:val="1019"/>
        </w:numPr>
      </w:pPr>
      <w:r>
        <w:t xml:space="preserve">Market-share improvement stalls or reverses</w:t>
      </w:r>
    </w:p>
    <w:p>
      <w:pPr>
        <w:pStyle w:val="Compact"/>
        <w:numPr>
          <w:ilvl w:val="0"/>
          <w:numId w:val="1019"/>
        </w:numPr>
      </w:pPr>
      <w:r>
        <w:t xml:space="preserve">Heavy promotions fail to generate unit growth</w:t>
      </w:r>
    </w:p>
    <w:p>
      <w:pPr>
        <w:pStyle w:val="Compact"/>
        <w:numPr>
          <w:ilvl w:val="0"/>
          <w:numId w:val="1019"/>
        </w:numPr>
      </w:pPr>
      <w:r>
        <w:t xml:space="preserve">Adjusted gross margin misses materially</w:t>
      </w:r>
    </w:p>
    <w:p>
      <w:pPr>
        <w:pStyle w:val="Compact"/>
        <w:numPr>
          <w:ilvl w:val="0"/>
          <w:numId w:val="1019"/>
        </w:numPr>
      </w:pPr>
      <w:r>
        <w:t xml:space="preserve">Operating-income or EPS guidance is reduced</w:t>
      </w:r>
    </w:p>
    <w:p>
      <w:pPr>
        <w:pStyle w:val="Compact"/>
        <w:numPr>
          <w:ilvl w:val="0"/>
          <w:numId w:val="1019"/>
        </w:numPr>
      </w:pPr>
      <w:r>
        <w:t xml:space="preserve">Inflation requires more pricing or threatens the $600 million investment plan</w:t>
      </w:r>
    </w:p>
    <w:p>
      <w:pPr>
        <w:pStyle w:val="Compact"/>
        <w:numPr>
          <w:ilvl w:val="0"/>
          <w:numId w:val="1019"/>
        </w:numPr>
      </w:pPr>
      <w:r>
        <w:t xml:space="preserve">Free-cash-flow conversion deteriorates</w:t>
      </w:r>
    </w:p>
    <w:p>
      <w:pPr>
        <w:pStyle w:val="FirstParagraph"/>
      </w:pPr>
      <w:r>
        <w:t xml:space="preserve">This would raise the risk that Kraft Heinz is paying more merely to stabilize structurally challenged brands rather than building a sustainable recovery.</w:t>
      </w:r>
    </w:p>
    <w:p>
      <w:r>
        <w:pict>
          <v:rect style="width:0;height:1.5pt" o:hralign="center" o:hrstd="t" o:hr="t"/>
        </w:pict>
      </w:r>
    </w:p>
    <w:bookmarkEnd w:id="26"/>
    <w:bookmarkEnd w:id="27"/>
    <w:bookmarkStart w:id="28" w:name="questions-for-management"/>
    <w:p>
      <w:pPr>
        <w:pStyle w:val="Heading2"/>
      </w:pPr>
      <w:r>
        <w:t xml:space="preserve">Questions for management</w:t>
      </w:r>
    </w:p>
    <w:p>
      <w:pPr>
        <w:pStyle w:val="Compact"/>
        <w:numPr>
          <w:ilvl w:val="0"/>
          <w:numId w:val="1020"/>
        </w:numPr>
      </w:pPr>
      <w:r>
        <w:t xml:space="preserve">What percentage of the U.S. portfolio held or gained market share during Q2 and in the latest four-week period?</w:t>
      </w:r>
    </w:p>
    <w:p>
      <w:pPr>
        <w:pStyle w:val="Compact"/>
        <w:numPr>
          <w:ilvl w:val="0"/>
          <w:numId w:val="1020"/>
        </w:numPr>
      </w:pPr>
      <w:r>
        <w:t xml:space="preserve">How much of the Q2 organic decline was caused by Easter timing, SNAP, and category contraction?</w:t>
      </w:r>
    </w:p>
    <w:p>
      <w:pPr>
        <w:pStyle w:val="Compact"/>
        <w:numPr>
          <w:ilvl w:val="0"/>
          <w:numId w:val="1020"/>
        </w:numPr>
      </w:pPr>
      <w:r>
        <w:t xml:space="preserve">Are lower price points and promotions producing incremental units and household penetration?</w:t>
      </w:r>
    </w:p>
    <w:p>
      <w:pPr>
        <w:pStyle w:val="Compact"/>
        <w:numPr>
          <w:ilvl w:val="0"/>
          <w:numId w:val="1020"/>
        </w:numPr>
      </w:pPr>
      <w:r>
        <w:t xml:space="preserve">What measurable returns has the company seen from the 2026 marketing increase?</w:t>
      </w:r>
    </w:p>
    <w:p>
      <w:pPr>
        <w:pStyle w:val="Compact"/>
        <w:numPr>
          <w:ilvl w:val="0"/>
          <w:numId w:val="1020"/>
        </w:numPr>
      </w:pPr>
      <w:r>
        <w:t xml:space="preserve">Has the inflation assumption moved materially above the level contemplated after Q1?</w:t>
      </w:r>
    </w:p>
    <w:p>
      <w:pPr>
        <w:pStyle w:val="Compact"/>
        <w:numPr>
          <w:ilvl w:val="0"/>
          <w:numId w:val="1020"/>
        </w:numPr>
      </w:pPr>
      <w:r>
        <w:t xml:space="preserve">Is adjusted gross-margin guidance still achievable without cutting investment?</w:t>
      </w:r>
    </w:p>
    <w:p>
      <w:pPr>
        <w:pStyle w:val="Compact"/>
        <w:numPr>
          <w:ilvl w:val="0"/>
          <w:numId w:val="1020"/>
        </w:numPr>
      </w:pPr>
      <w:r>
        <w:t xml:space="preserve">Which innovations are gaining incremental distribution, and what are the early repeat-purchase trends?</w:t>
      </w:r>
    </w:p>
    <w:p>
      <w:pPr>
        <w:pStyle w:val="Compact"/>
        <w:numPr>
          <w:ilvl w:val="0"/>
          <w:numId w:val="1020"/>
        </w:numPr>
      </w:pPr>
      <w:r>
        <w:t xml:space="preserve">Is Lunchables continuing to recover?</w:t>
      </w:r>
    </w:p>
    <w:p>
      <w:pPr>
        <w:pStyle w:val="Compact"/>
        <w:numPr>
          <w:ilvl w:val="0"/>
          <w:numId w:val="1020"/>
        </w:numPr>
      </w:pPr>
      <w:r>
        <w:t xml:space="preserve">How quickly will the Indonesia headwind reverse in the second half?</w:t>
      </w:r>
    </w:p>
    <w:p>
      <w:pPr>
        <w:pStyle w:val="Compact"/>
        <w:numPr>
          <w:ilvl w:val="0"/>
          <w:numId w:val="1020"/>
        </w:numPr>
      </w:pPr>
      <w:r>
        <w:t xml:space="preserve">What is the expected quarterly shape of adjusted operating income and free cash flow in the second half?</w:t>
      </w:r>
    </w:p>
    <w:p>
      <w:pPr>
        <w:pStyle w:val="Compact"/>
        <w:numPr>
          <w:ilvl w:val="0"/>
          <w:numId w:val="1020"/>
        </w:numPr>
      </w:pPr>
      <w:r>
        <w:t xml:space="preserve">Has the company retired any 2027 debt early?</w:t>
      </w:r>
    </w:p>
    <w:p>
      <w:pPr>
        <w:pStyle w:val="Compact"/>
        <w:numPr>
          <w:ilvl w:val="0"/>
          <w:numId w:val="1020"/>
        </w:numPr>
      </w:pPr>
      <w:r>
        <w:t xml:space="preserve">What operational milestones would cause management to revisit the paused separation?</w:t>
      </w:r>
    </w:p>
    <w:p>
      <w:r>
        <w:pict>
          <v:rect style="width:0;height:1.5pt" o:hralign="center" o:hrstd="t" o:hr="t"/>
        </w:pict>
      </w:r>
    </w:p>
    <w:bookmarkEnd w:id="28"/>
    <w:bookmarkStart w:id="29" w:name="bottom-line"/>
    <w:p>
      <w:pPr>
        <w:pStyle w:val="Heading2"/>
      </w:pPr>
      <w:r>
        <w:t xml:space="preserve">Bottom line</w:t>
      </w:r>
    </w:p>
    <w:p>
      <w:pPr>
        <w:pStyle w:val="FirstParagraph"/>
      </w:pPr>
      <w:r>
        <w:t xml:space="preserve">This report is less about whether Kraft Heinz earns exactly $0.53 per share and more about whether the company is</w:t>
      </w:r>
      <w:r>
        <w:t xml:space="preserve"> </w:t>
      </w:r>
      <w:r>
        <w:rPr>
          <w:b/>
          <w:bCs/>
        </w:rPr>
        <w:t xml:space="preserve">buying a real improvement in consumer demand</w:t>
      </w:r>
      <w:r>
        <w:t xml:space="preserve">.</w:t>
      </w:r>
    </w:p>
    <w:p>
      <w:pPr>
        <w:pStyle w:val="BodyText"/>
      </w:pPr>
      <w:r>
        <w:t xml:space="preserve">Management already prepared investors for a weak Q2. Consequently, the key test is whether the underlying evidence—market share, distribution, household penetration, volume response, and innovation performance—supports the claim that the turnaround is working.</w:t>
      </w:r>
    </w:p>
    <w:p>
      <w:pPr>
        <w:pStyle w:val="BodyText"/>
      </w:pPr>
      <w:r>
        <w:t xml:space="preserve">The most constructive combination would be:</w:t>
      </w:r>
    </w:p>
    <w:p>
      <w:pPr>
        <w:pStyle w:val="Compact"/>
        <w:numPr>
          <w:ilvl w:val="0"/>
          <w:numId w:val="1021"/>
        </w:numPr>
      </w:pPr>
      <w:r>
        <w:t xml:space="preserve">Organic sales toward the better end of the Q2 range</w:t>
      </w:r>
    </w:p>
    <w:p>
      <w:pPr>
        <w:pStyle w:val="Compact"/>
        <w:numPr>
          <w:ilvl w:val="0"/>
          <w:numId w:val="1021"/>
        </w:numPr>
      </w:pPr>
      <w:r>
        <w:t xml:space="preserve">Volume outperforming the Street</w:t>
      </w:r>
    </w:p>
    <w:p>
      <w:pPr>
        <w:pStyle w:val="Compact"/>
        <w:numPr>
          <w:ilvl w:val="0"/>
          <w:numId w:val="1021"/>
        </w:numPr>
      </w:pPr>
      <w:r>
        <w:t xml:space="preserve">Continued market-share improvement</w:t>
      </w:r>
    </w:p>
    <w:p>
      <w:pPr>
        <w:pStyle w:val="Compact"/>
        <w:numPr>
          <w:ilvl w:val="0"/>
          <w:numId w:val="1021"/>
        </w:numPr>
      </w:pPr>
      <w:r>
        <w:t xml:space="preserve">Gross-margin guidance intact</w:t>
      </w:r>
    </w:p>
    <w:p>
      <w:pPr>
        <w:pStyle w:val="Compact"/>
        <w:numPr>
          <w:ilvl w:val="0"/>
          <w:numId w:val="1021"/>
        </w:numPr>
      </w:pPr>
      <w:r>
        <w:t xml:space="preserve">No escalation in second-half inflation risk</w:t>
      </w:r>
    </w:p>
    <w:p>
      <w:pPr>
        <w:pStyle w:val="Compact"/>
        <w:numPr>
          <w:ilvl w:val="0"/>
          <w:numId w:val="1021"/>
        </w:numPr>
      </w:pPr>
      <w:r>
        <w:t xml:space="preserve">Clear evidence that the $600 million investment is generating returns</w:t>
      </w:r>
    </w:p>
    <w:p>
      <w:pPr>
        <w:pStyle w:val="FirstParagraph"/>
      </w:pPr>
      <w:r>
        <w:t xml:space="preserve">Conversely, weak volumes combined with heavier promotions and a margin-guidance cut would challenge the central investment thesis. Given the stock’s rebound since Q1, the burden has shifted from merely avoiding a miss to demonstrating that Kraft Heinz can convert higher spending into a credible path back to organic growth.</w:t>
      </w:r>
    </w:p>
    <w:p>
      <w:pPr>
        <w:pStyle w:val="BodyText"/>
      </w:pPr>
      <w:r>
        <w:rPr>
          <w:i/>
          <w:iCs/>
        </w:rPr>
        <w:t xml:space="preserve">Sources: Kraft Heinz Q1 2026 and Q2 2025 earnings releases; Q1 2026 and Q4 2025 earnings-call transcripts; recent market-news digest; stock-price data through August 4, 2026.</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2026-08-05T00:29:42Z</dcterms:created>
  <dcterms:modified xsi:type="dcterms:W3CDTF">2026-08-05T00:29:42Z</dcterms:modified>
</cp:coreProperties>
</file>

<file path=docProps/custom.xml><?xml version="1.0" encoding="utf-8"?>
<Properties xmlns="http://schemas.openxmlformats.org/officeDocument/2006/custom-properties" xmlns:vt="http://schemas.openxmlformats.org/officeDocument/2006/docPropsVTypes"/>
</file>