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kraft-heinz-khc--2q26-earnings-preview"/>
    <w:p>
      <w:pPr>
        <w:pStyle w:val="Heading1"/>
      </w:pPr>
      <w:r>
        <w:t xml:space="preserve">Kraft Heinz (KHC) — 2Q26 Earnings Preview</w:t>
      </w:r>
    </w:p>
    <w:p>
      <w:pPr>
        <w:pStyle w:val="BlockText"/>
      </w:pPr>
      <w:r>
        <w:rPr>
          <w:b/>
          <w:bCs/>
        </w:rPr>
        <w:t xml:space="preserve">Timing note:</w:t>
      </w:r>
      <w:r>
        <w:t xml:space="preserve"> </w:t>
      </w:r>
      <w:r>
        <w:t xml:space="preserve">Today is</w:t>
      </w:r>
      <w:r>
        <w:t xml:space="preserve"> </w:t>
      </w:r>
      <w:r>
        <w:rPr>
          <w:b/>
          <w:bCs/>
        </w:rPr>
        <w:t xml:space="preserve">Wednesday, August 5, 2026</w:t>
      </w:r>
      <w:r>
        <w:t xml:space="preserve">. The available pre-earnings market digest identifies KHC’s 2Q26 release as scheduled</w:t>
      </w:r>
      <w:r>
        <w:t xml:space="preserve"> </w:t>
      </w:r>
      <w:r>
        <w:rPr>
          <w:b/>
          <w:bCs/>
        </w:rPr>
        <w:t xml:space="preserve">before the U.S. market open on August 5</w:t>
      </w:r>
      <w:r>
        <w:t xml:space="preserve">, not “tomorrow.” This preview is therefore framed for the results and ensuing management Q&amp;A today.</w:t>
      </w:r>
    </w:p>
    <w:bookmarkStart w:id="9" w:name="bottom-line"/>
    <w:p>
      <w:pPr>
        <w:pStyle w:val="Heading2"/>
      </w:pPr>
      <w:r>
        <w:t xml:space="preserve">Bottom line</w:t>
      </w:r>
    </w:p>
    <w:p>
      <w:pPr>
        <w:pStyle w:val="FirstParagraph"/>
      </w:pPr>
      <w:r>
        <w:t xml:space="preserve">KHC’s second-quarter report is less about whether reported revenue and EPS decline—</w:t>
      </w:r>
      <w:r>
        <w:rPr>
          <w:b/>
          <w:bCs/>
        </w:rPr>
        <w:t xml:space="preserve">both are expected to decline sharply</w:t>
      </w:r>
      <w:r>
        <w:t xml:space="preserve">—and more about whether management can demonstrate that the turnaround is gaining traction beneath a deliberately difficult near-term P&amp;L.</w:t>
      </w:r>
    </w:p>
    <w:p>
      <w:pPr>
        <w:pStyle w:val="BodyText"/>
      </w:pPr>
      <w:r>
        <w:t xml:space="preserve">The central investment debate is straightforward:</w:t>
      </w:r>
    </w:p>
    <w:p>
      <w:pPr>
        <w:pStyle w:val="Compact"/>
        <w:numPr>
          <w:ilvl w:val="0"/>
          <w:numId w:val="1001"/>
        </w:numPr>
      </w:pPr>
      <w:r>
        <w:rPr>
          <w:b/>
          <w:bCs/>
        </w:rPr>
        <w:t xml:space="preserve">Bull case:</w:t>
      </w:r>
      <w:r>
        <w:t xml:space="preserve"> </w:t>
      </w:r>
      <w:r>
        <w:t xml:space="preserve">The company’s stepped-up spending behind core brands, innovation, pricing/value architecture, sales execution, and international expansion is beginning to improve U.S. market-share trends. If the quarter confirms that the Easter/SNAP-related top-line trough was anticipated and that share improvement is holding, investors may look through weak 2Q financials toward a better second half.</w:t>
      </w:r>
    </w:p>
    <w:p>
      <w:pPr>
        <w:pStyle w:val="Compact"/>
        <w:numPr>
          <w:ilvl w:val="0"/>
          <w:numId w:val="1001"/>
        </w:numPr>
      </w:pPr>
      <w:r>
        <w:rPr>
          <w:b/>
          <w:bCs/>
        </w:rPr>
        <w:t xml:space="preserve">Bear case:</w:t>
      </w:r>
      <w:r>
        <w:t xml:space="preserve"> </w:t>
      </w:r>
      <w:r>
        <w:t xml:space="preserve">KHC remains a low-growth packaged-food company with weak volumes, a pressured consumer, rising input costs, and a margin reset caused partly by the company’s own $600 million commercial investment program. A weak volume/share outcome or another cautious guide would undermine the early turnaround narrative.</w:t>
      </w:r>
    </w:p>
    <w:p>
      <w:pPr>
        <w:pStyle w:val="FirstParagraph"/>
      </w:pPr>
      <w:r>
        <w:t xml:space="preserve">The setup is no longer as washed out as it was earlier in the year. KHC closed at</w:t>
      </w:r>
      <w:r>
        <w:t xml:space="preserve"> </w:t>
      </w:r>
      <w:r>
        <w:rPr>
          <w:b/>
          <w:bCs/>
        </w:rPr>
        <w:t xml:space="preserve">$26.66 on August 4</w:t>
      </w:r>
      <w:r>
        <w:t xml:space="preserve">, up roughly</w:t>
      </w:r>
      <w:r>
        <w:t xml:space="preserve"> </w:t>
      </w:r>
      <w:r>
        <w:rPr>
          <w:b/>
          <w:bCs/>
        </w:rPr>
        <w:t xml:space="preserve">16% since its May 6 first-quarter report</w:t>
      </w:r>
      <w:r>
        <w:t xml:space="preserve"> </w:t>
      </w:r>
      <w:r>
        <w:t xml:space="preserve">and about</w:t>
      </w:r>
      <w:r>
        <w:t xml:space="preserve"> </w:t>
      </w:r>
      <w:r>
        <w:rPr>
          <w:b/>
          <w:bCs/>
        </w:rPr>
        <w:t xml:space="preserve">9% year to date</w:t>
      </w:r>
      <w:r>
        <w:t xml:space="preserve">. That recovery raises the importance of credible execution evidence rather than simply a headline beat against lowered estimates.</w:t>
      </w:r>
    </w:p>
    <w:p>
      <w:r>
        <w:pict>
          <v:rect style="width:0;height:1.5pt" o:hralign="center" o:hrstd="t" o:hr="t"/>
        </w:pict>
      </w:r>
    </w:p>
    <w:bookmarkEnd w:id="9"/>
    <w:bookmarkStart w:id="10" w:name="what-the-street-expects"/>
    <w:p>
      <w:pPr>
        <w:pStyle w:val="Heading2"/>
      </w:pPr>
      <w:r>
        <w:t xml:space="preserve">What the Street expects</w:t>
      </w:r>
    </w:p>
    <w:p>
      <w:pPr>
        <w:pStyle w:val="FirstParagraph"/>
      </w:pPr>
      <w:r>
        <w:t xml:space="preserve">The pre-report consensus framing is for: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2Q26 expectation</w:t>
            </w:r>
          </w:p>
        </w:tc>
        <w:tc>
          <w:tcPr/>
          <w:p>
            <w:pPr>
              <w:pStyle w:val="Compact"/>
              <w:jc w:val="right"/>
            </w:pPr>
            <w:r>
              <w:t xml:space="preserve">Year-over-year change</w:t>
            </w:r>
          </w:p>
        </w:tc>
      </w:tr>
      <w:tr>
        <w:tc>
          <w:tcPr/>
          <w:p>
            <w:pPr>
              <w:pStyle w:val="Compact"/>
            </w:pPr>
            <w:r>
              <w:t xml:space="preserve">Organic net sales</w:t>
            </w:r>
          </w:p>
        </w:tc>
        <w:tc>
          <w:tcPr/>
          <w:p>
            <w:pPr>
              <w:pStyle w:val="Compact"/>
              <w:jc w:val="right"/>
            </w:pPr>
            <w:r>
              <w:rPr>
                <w:b/>
                <w:bCs/>
              </w:rPr>
              <w:t xml:space="preserve">(3.5%)</w:t>
            </w:r>
          </w:p>
        </w:tc>
        <w:tc>
          <w:tcPr/>
          <w:p>
            <w:pPr>
              <w:pStyle w:val="Compact"/>
              <w:jc w:val="right"/>
            </w:pPr>
            <w:r>
              <w:t xml:space="preserve">—</w:t>
            </w:r>
          </w:p>
        </w:tc>
      </w:tr>
      <w:tr>
        <w:tc>
          <w:tcPr/>
          <w:p>
            <w:pPr>
              <w:pStyle w:val="Compact"/>
            </w:pPr>
            <w:r>
              <w:t xml:space="preserve">Volume/mix</w:t>
            </w:r>
          </w:p>
        </w:tc>
        <w:tc>
          <w:tcPr/>
          <w:p>
            <w:pPr>
              <w:pStyle w:val="Compact"/>
              <w:jc w:val="right"/>
            </w:pPr>
            <w:r>
              <w:rPr>
                <w:b/>
                <w:bCs/>
              </w:rPr>
              <w:t xml:space="preserve">(4.1%)</w:t>
            </w:r>
          </w:p>
        </w:tc>
        <w:tc>
          <w:tcPr/>
          <w:p>
            <w:pPr>
              <w:pStyle w:val="Compact"/>
              <w:jc w:val="right"/>
            </w:pPr>
            <w:r>
              <w:t xml:space="preserve">—</w:t>
            </w:r>
          </w:p>
        </w:tc>
      </w:tr>
      <w:tr>
        <w:tc>
          <w:tcPr/>
          <w:p>
            <w:pPr>
              <w:pStyle w:val="Compact"/>
            </w:pPr>
            <w:r>
              <w:t xml:space="preserve">Adjusted EBITDA</w:t>
            </w:r>
          </w:p>
        </w:tc>
        <w:tc>
          <w:tcPr/>
          <w:p>
            <w:pPr>
              <w:pStyle w:val="Compact"/>
              <w:jc w:val="right"/>
            </w:pPr>
            <w:r>
              <w:rPr>
                <w:b/>
                <w:bCs/>
              </w:rPr>
              <w:t xml:space="preserve">$1.28 billion</w:t>
            </w:r>
          </w:p>
        </w:tc>
        <w:tc>
          <w:tcPr/>
          <w:p>
            <w:pPr>
              <w:pStyle w:val="Compact"/>
              <w:jc w:val="right"/>
            </w:pPr>
            <w:r>
              <w:rPr>
                <w:b/>
                <w:bCs/>
              </w:rPr>
              <w:t xml:space="preserve">(16%)</w:t>
            </w:r>
          </w:p>
        </w:tc>
      </w:tr>
      <w:tr>
        <w:tc>
          <w:tcPr/>
          <w:p>
            <w:pPr>
              <w:pStyle w:val="Compact"/>
            </w:pPr>
            <w:r>
              <w:t xml:space="preserve">Adjusted EPS</w:t>
            </w:r>
          </w:p>
        </w:tc>
        <w:tc>
          <w:tcPr/>
          <w:p>
            <w:pPr>
              <w:pStyle w:val="Compact"/>
              <w:jc w:val="right"/>
            </w:pPr>
            <w:r>
              <w:rPr>
                <w:b/>
                <w:bCs/>
              </w:rPr>
              <w:t xml:space="preserve">$0.53</w:t>
            </w:r>
          </w:p>
        </w:tc>
        <w:tc>
          <w:tcPr/>
          <w:p>
            <w:pPr>
              <w:pStyle w:val="Compact"/>
              <w:jc w:val="right"/>
            </w:pPr>
            <w:r>
              <w:rPr>
                <w:b/>
                <w:bCs/>
              </w:rPr>
              <w:t xml:space="preserve">(23%)</w:t>
            </w:r>
          </w:p>
        </w:tc>
      </w:tr>
    </w:tbl>
    <w:p>
      <w:pPr>
        <w:pStyle w:val="BodyText"/>
      </w:pPr>
      <w:r>
        <w:t xml:space="preserve">For context, 2Q25 organic sales fell</w:t>
      </w:r>
      <w:r>
        <w:t xml:space="preserve"> </w:t>
      </w:r>
      <w:r>
        <w:rPr>
          <w:b/>
          <w:bCs/>
        </w:rPr>
        <w:t xml:space="preserve">2.0%</w:t>
      </w:r>
      <w:r>
        <w:t xml:space="preserve">, volume/mix declined</w:t>
      </w:r>
      <w:r>
        <w:t xml:space="preserve"> </w:t>
      </w:r>
      <w:r>
        <w:rPr>
          <w:b/>
          <w:bCs/>
        </w:rPr>
        <w:t xml:space="preserve">2.7%</w:t>
      </w:r>
      <w:r>
        <w:t xml:space="preserve">, adjusted operating income was</w:t>
      </w:r>
      <w:r>
        <w:t xml:space="preserve"> </w:t>
      </w:r>
      <m:oMath>
        <m:r>
          <m:t>1.276</m:t>
        </m:r>
        <m:r>
          <m:t>b</m:t>
        </m:r>
        <m:r>
          <m:t>i</m:t>
        </m:r>
        <m:r>
          <m:t>l</m:t>
        </m:r>
        <m:r>
          <m:t>l</m:t>
        </m:r>
        <m:r>
          <m:t>i</m:t>
        </m:r>
        <m:r>
          <m:t>o</m:t>
        </m:r>
        <m:r>
          <m:t>n</m:t>
        </m:r>
        <m:r>
          <m:rPr>
            <m:sty m:val="p"/>
          </m:rPr>
          <m:t>*</m:t>
        </m:r>
        <m:r>
          <m:rPr>
            <m:sty m:val="p"/>
          </m:rPr>
          <m:t>*</m:t>
        </m:r>
        <m:r>
          <m:rPr>
            <m:sty m:val="p"/>
          </m:rPr>
          <m:t>,</m:t>
        </m:r>
        <m:r>
          <m:t>a</m:t>
        </m:r>
        <m:r>
          <m:t>n</m:t>
        </m:r>
        <m:r>
          <m:t>d</m:t>
        </m:r>
        <m:r>
          <m:t>a</m:t>
        </m:r>
        <m:r>
          <m:t>d</m:t>
        </m:r>
        <m:r>
          <m:t>j</m:t>
        </m:r>
        <m:r>
          <m:t>u</m:t>
        </m:r>
        <m:r>
          <m:t>s</m:t>
        </m:r>
        <m:r>
          <m:t>t</m:t>
        </m:r>
        <m:r>
          <m:t>e</m:t>
        </m:r>
        <m:r>
          <m:t>d</m:t>
        </m:r>
        <m:r>
          <m:t>E</m:t>
        </m:r>
        <m:r>
          <m:t>P</m:t>
        </m:r>
        <m:r>
          <m:t>S</m:t>
        </m:r>
        <m:r>
          <m:t>w</m:t>
        </m:r>
        <m:r>
          <m:t>a</m:t>
        </m:r>
        <m:r>
          <m:t>s</m:t>
        </m:r>
        <m:r>
          <m:rPr>
            <m:sty m:val="p"/>
          </m:rPr>
          <m:t>*</m:t>
        </m:r>
        <m:r>
          <m:rPr>
            <m:sty m:val="p"/>
          </m:rPr>
          <m:t>*</m:t>
        </m:r>
      </m:oMath>
      <w:r>
        <w:rPr>
          <w:b/>
          <w:bCs/>
        </w:rPr>
        <w:t xml:space="preserve">0.69</w:t>
      </w:r>
      <w:r>
        <w:t xml:space="preserve">. Thus, consensus anticipates a materially worse year-over-year organic-sales and earnings comparison in 2Q26.</w:t>
      </w:r>
    </w:p>
    <w:bookmarkEnd w:id="10"/>
    <w:bookmarkStart w:id="11" w:name="why-2q-is-expected-to-be-the-trough"/>
    <w:p>
      <w:pPr>
        <w:pStyle w:val="Heading2"/>
      </w:pPr>
      <w:r>
        <w:t xml:space="preserve">Why 2Q is expected to be the trough</w:t>
      </w:r>
    </w:p>
    <w:p>
      <w:pPr>
        <w:pStyle w:val="FirstParagraph"/>
      </w:pPr>
      <w:r>
        <w:t xml:space="preserve">Management explicitly prepared investors for a weak second quarter at the 1Q call, guiding to</w:t>
      </w:r>
      <w:r>
        <w:t xml:space="preserve"> </w:t>
      </w:r>
      <w:r>
        <w:rPr>
          <w:b/>
          <w:bCs/>
        </w:rPr>
        <w:t xml:space="preserve">organic-sales growth of negative 3% to negative 5%</w:t>
      </w:r>
      <w:r>
        <w:t xml:space="preserve">. Three factors matter:</w:t>
      </w:r>
    </w:p>
    <w:p>
      <w:pPr>
        <w:numPr>
          <w:ilvl w:val="0"/>
          <w:numId w:val="1002"/>
        </w:numPr>
      </w:pPr>
      <w:r>
        <w:rPr>
          <w:b/>
          <w:bCs/>
        </w:rPr>
        <w:t xml:space="preserve">Easter timing reversal.</w:t>
      </w:r>
      <w:r>
        <w:br/>
      </w:r>
      <w:r>
        <w:t xml:space="preserve">KHC said 1Q benefited from the Easter shift and some weather-related pantry loading. Those benefits reverse in 2Q, making the quarterly comparison mechanically tougher.</w:t>
      </w:r>
    </w:p>
    <w:p>
      <w:pPr>
        <w:numPr>
          <w:ilvl w:val="0"/>
          <w:numId w:val="1002"/>
        </w:numPr>
      </w:pPr>
      <w:r>
        <w:rPr>
          <w:b/>
          <w:bCs/>
        </w:rPr>
        <w:t xml:space="preserve">SNAP headwind.</w:t>
      </w:r>
      <w:r>
        <w:br/>
      </w:r>
      <w:r>
        <w:t xml:space="preserve">Management expects approximately</w:t>
      </w:r>
      <w:r>
        <w:t xml:space="preserve"> </w:t>
      </w:r>
      <w:r>
        <w:rPr>
          <w:b/>
          <w:bCs/>
        </w:rPr>
        <w:t xml:space="preserve">100 basis points of full-year organic-sales pressure</w:t>
      </w:r>
      <w:r>
        <w:t xml:space="preserve"> </w:t>
      </w:r>
      <w:r>
        <w:t xml:space="preserve">from incremental SNAP headwinds, beginning in the second quarter. It said SNAP transaction softness was already visible in February and March, though stronger non-SNAP household demand partly offset that pressure in 1Q.</w:t>
      </w:r>
    </w:p>
    <w:p>
      <w:pPr>
        <w:numPr>
          <w:ilvl w:val="0"/>
          <w:numId w:val="1002"/>
        </w:numPr>
      </w:pPr>
      <w:r>
        <w:rPr>
          <w:b/>
          <w:bCs/>
        </w:rPr>
        <w:t xml:space="preserve">Underlying category softness and volume pressure.</w:t>
      </w:r>
      <w:r>
        <w:br/>
      </w:r>
      <w:r>
        <w:t xml:space="preserve">In 1Q26, KHC organic sales fell</w:t>
      </w:r>
      <w:r>
        <w:t xml:space="preserve"> </w:t>
      </w:r>
      <w:r>
        <w:rPr>
          <w:b/>
          <w:bCs/>
        </w:rPr>
        <w:t xml:space="preserve">0.4%</w:t>
      </w:r>
      <w:r>
        <w:t xml:space="preserve">, entirely because volume/mix declined</w:t>
      </w:r>
      <w:r>
        <w:t xml:space="preserve"> </w:t>
      </w:r>
      <w:r>
        <w:rPr>
          <w:b/>
          <w:bCs/>
        </w:rPr>
        <w:t xml:space="preserve">1.2%</w:t>
      </w:r>
      <w:r>
        <w:t xml:space="preserve">, partly offset by</w:t>
      </w:r>
      <w:r>
        <w:t xml:space="preserve"> </w:t>
      </w:r>
      <w:r>
        <w:rPr>
          <w:b/>
          <w:bCs/>
        </w:rPr>
        <w:t xml:space="preserve">0.8% pricing</w:t>
      </w:r>
      <w:r>
        <w:t xml:space="preserve">. North America organic sales fell</w:t>
      </w:r>
      <w:r>
        <w:t xml:space="preserve"> </w:t>
      </w:r>
      <w:r>
        <w:rPr>
          <w:b/>
          <w:bCs/>
        </w:rPr>
        <w:t xml:space="preserve">1.1%</w:t>
      </w:r>
      <w:r>
        <w:t xml:space="preserve">, with volume/mix down</w:t>
      </w:r>
      <w:r>
        <w:t xml:space="preserve"> </w:t>
      </w:r>
      <w:r>
        <w:rPr>
          <w:b/>
          <w:bCs/>
        </w:rPr>
        <w:t xml:space="preserve">1.5%</w:t>
      </w:r>
      <w:r>
        <w:t xml:space="preserve">. The 2Q question is whether the expected calendar and SNAP pressures are masking stabilization—or whether the volume problem is worsening.</w:t>
      </w:r>
    </w:p>
    <w:p>
      <w:r>
        <w:pict>
          <v:rect style="width:0;height:1.5pt" o:hralign="center" o:hrstd="t" o:hr="t"/>
        </w:pict>
      </w:r>
    </w:p>
    <w:bookmarkEnd w:id="11"/>
    <w:bookmarkStart w:id="12" w:name="X8b5bf7d4d4a57fa16d548ae45baa0f77187d9f6"/>
    <w:p>
      <w:pPr>
        <w:pStyle w:val="Heading2"/>
      </w:pPr>
      <w:r>
        <w:t xml:space="preserve">The key KPI: volume and market-share trajectory</w:t>
      </w:r>
    </w:p>
    <w:p>
      <w:pPr>
        <w:pStyle w:val="FirstParagraph"/>
      </w:pPr>
      <w:r>
        <w:t xml:space="preserve">For investors, the most important disclosures may be market-share and volume trends rather than reported sales.</w:t>
      </w:r>
    </w:p>
    <w:p>
      <w:pPr>
        <w:pStyle w:val="BodyText"/>
      </w:pPr>
      <w:r>
        <w:t xml:space="preserve">Management characterized 1Q as an early proof point for its investment plan:</w:t>
      </w:r>
    </w:p>
    <w:p>
      <w:pPr>
        <w:pStyle w:val="Compact"/>
        <w:numPr>
          <w:ilvl w:val="0"/>
          <w:numId w:val="1003"/>
        </w:numPr>
      </w:pPr>
      <w:r>
        <w:t xml:space="preserve">The percentage of the portfolio holding or gaining share improved to</w:t>
      </w:r>
      <w:r>
        <w:t xml:space="preserve"> </w:t>
      </w:r>
      <w:r>
        <w:rPr>
          <w:b/>
          <w:bCs/>
        </w:rPr>
        <w:t xml:space="preserve">35% in 1Q</w:t>
      </w:r>
      <w:r>
        <w:t xml:space="preserve">, from</w:t>
      </w:r>
      <w:r>
        <w:t xml:space="preserve"> </w:t>
      </w:r>
      <w:r>
        <w:rPr>
          <w:b/>
          <w:bCs/>
        </w:rPr>
        <w:t xml:space="preserve">21% in 2025</w:t>
      </w:r>
      <w:r>
        <w:t xml:space="preserve">.</w:t>
      </w:r>
    </w:p>
    <w:p>
      <w:pPr>
        <w:pStyle w:val="Compact"/>
        <w:numPr>
          <w:ilvl w:val="0"/>
          <w:numId w:val="1003"/>
        </w:numPr>
      </w:pPr>
      <w:r>
        <w:t xml:space="preserve">That metric reportedly reached</w:t>
      </w:r>
      <w:r>
        <w:t xml:space="preserve"> </w:t>
      </w:r>
      <w:r>
        <w:rPr>
          <w:b/>
          <w:bCs/>
        </w:rPr>
        <w:t xml:space="preserve">58% in March</w:t>
      </w:r>
      <w:r>
        <w:t xml:space="preserve">.</w:t>
      </w:r>
    </w:p>
    <w:p>
      <w:pPr>
        <w:pStyle w:val="Compact"/>
        <w:numPr>
          <w:ilvl w:val="0"/>
          <w:numId w:val="1003"/>
        </w:numPr>
      </w:pPr>
      <w:r>
        <w:t xml:space="preserve">In</w:t>
      </w:r>
      <w:r>
        <w:t xml:space="preserve"> </w:t>
      </w:r>
      <w:r>
        <w:rPr>
          <w:b/>
          <w:bCs/>
        </w:rPr>
        <w:t xml:space="preserve">Taste Elevation</w:t>
      </w:r>
      <w:r>
        <w:t xml:space="preserve">, the corresponding share metric improved to</w:t>
      </w:r>
      <w:r>
        <w:t xml:space="preserve"> </w:t>
      </w:r>
      <w:r>
        <w:rPr>
          <w:b/>
          <w:bCs/>
        </w:rPr>
        <w:t xml:space="preserve">81% in 1Q</w:t>
      </w:r>
      <w:r>
        <w:t xml:space="preserve"> </w:t>
      </w:r>
      <w:r>
        <w:t xml:space="preserve">and</w:t>
      </w:r>
      <w:r>
        <w:t xml:space="preserve"> </w:t>
      </w:r>
      <w:r>
        <w:rPr>
          <w:b/>
          <w:bCs/>
        </w:rPr>
        <w:t xml:space="preserve">87% in March</w:t>
      </w:r>
      <w:r>
        <w:t xml:space="preserve">.</w:t>
      </w:r>
    </w:p>
    <w:p>
      <w:pPr>
        <w:pStyle w:val="FirstParagraph"/>
      </w:pPr>
      <w:r>
        <w:t xml:space="preserve">Those figures need confirmation in 2Q. A healthy result would be:</w:t>
      </w:r>
    </w:p>
    <w:p>
      <w:pPr>
        <w:pStyle w:val="Compact"/>
        <w:numPr>
          <w:ilvl w:val="0"/>
          <w:numId w:val="1004"/>
        </w:numPr>
      </w:pPr>
      <w:r>
        <w:t xml:space="preserve">organic sales near or better than the guided</w:t>
      </w:r>
      <w:r>
        <w:t xml:space="preserve"> </w:t>
      </w:r>
      <w:r>
        <w:rPr>
          <w:b/>
          <w:bCs/>
        </w:rPr>
        <w:t xml:space="preserve">(3%) to (5%)</w:t>
      </w:r>
      <w:r>
        <w:t xml:space="preserve"> </w:t>
      </w:r>
      <w:r>
        <w:t xml:space="preserve">range;</w:t>
      </w:r>
    </w:p>
    <w:p>
      <w:pPr>
        <w:pStyle w:val="Compact"/>
        <w:numPr>
          <w:ilvl w:val="0"/>
          <w:numId w:val="1004"/>
        </w:numPr>
      </w:pPr>
      <w:r>
        <w:t xml:space="preserve">volume/mix better than the approximately</w:t>
      </w:r>
      <w:r>
        <w:t xml:space="preserve"> </w:t>
      </w:r>
      <w:r>
        <w:rPr>
          <w:b/>
          <w:bCs/>
        </w:rPr>
        <w:t xml:space="preserve">(4.1%)</w:t>
      </w:r>
      <w:r>
        <w:t xml:space="preserve"> </w:t>
      </w:r>
      <w:r>
        <w:t xml:space="preserve">consensus expectation;</w:t>
      </w:r>
    </w:p>
    <w:p>
      <w:pPr>
        <w:pStyle w:val="Compact"/>
        <w:numPr>
          <w:ilvl w:val="0"/>
          <w:numId w:val="1004"/>
        </w:numPr>
      </w:pPr>
      <w:r>
        <w:t xml:space="preserve">continued sequential improvement in market-share trends, especially in North America;</w:t>
      </w:r>
    </w:p>
    <w:p>
      <w:pPr>
        <w:pStyle w:val="Compact"/>
        <w:numPr>
          <w:ilvl w:val="0"/>
          <w:numId w:val="1004"/>
        </w:numPr>
      </w:pPr>
      <w:r>
        <w:t xml:space="preserve">resilience in Taste Elevation, Hydration, Cream Cheese, Mac &amp; Cheese, sauces, and Away From Home.</w:t>
      </w:r>
    </w:p>
    <w:p>
      <w:pPr>
        <w:pStyle w:val="FirstParagraph"/>
      </w:pPr>
      <w:r>
        <w:t xml:space="preserve">Conversely, a broad deterioration in share or an acceleration in North American volume declines would be concerning. KHC’s 2025 problem was not simply insufficient pricing—it was sustained volume loss, particularly in categories such as coffee, cold cuts, frozen foods, and certain condiments.</w:t>
      </w:r>
    </w:p>
    <w:p>
      <w:r>
        <w:pict>
          <v:rect style="width:0;height:1.5pt" o:hralign="center" o:hrstd="t" o:hr="t"/>
        </w:pict>
      </w:r>
    </w:p>
    <w:bookmarkEnd w:id="12"/>
    <w:bookmarkStart w:id="15" w:name="X22a27b3547d76d7be2dbc1557b32f8651f4e15f"/>
    <w:p>
      <w:pPr>
        <w:pStyle w:val="Heading2"/>
      </w:pPr>
      <w:r>
        <w:t xml:space="preserve">Margin: likely weak, but quality matters more than the headline</w:t>
      </w:r>
    </w:p>
    <w:p>
      <w:pPr>
        <w:pStyle w:val="FirstParagraph"/>
      </w:pPr>
      <w:r>
        <w:t xml:space="preserve">The consensus EBITDA decline of roughly</w:t>
      </w:r>
      <w:r>
        <w:t xml:space="preserve"> </w:t>
      </w:r>
      <w:r>
        <w:rPr>
          <w:b/>
          <w:bCs/>
        </w:rPr>
        <w:t xml:space="preserve">16%</w:t>
      </w:r>
      <w:r>
        <w:t xml:space="preserve"> </w:t>
      </w:r>
      <w:r>
        <w:t xml:space="preserve">reflects a quarter where KHC is intentionally prioritizing commercial reinvestment and faces cost pressure.</w:t>
      </w:r>
    </w:p>
    <w:bookmarkStart w:id="13" w:name="X3f138bbf96ddbd62b22c5dcbc4bd84af7a49488"/>
    <w:p>
      <w:pPr>
        <w:pStyle w:val="Heading3"/>
      </w:pPr>
      <w:r>
        <w:t xml:space="preserve">1Q contained favorable items that should not be extrapolated</w:t>
      </w:r>
    </w:p>
    <w:p>
      <w:pPr>
        <w:pStyle w:val="FirstParagraph"/>
      </w:pPr>
      <w:r>
        <w:t xml:space="preserve">KHC’s 1Q adjusted gross margin fell just</w:t>
      </w:r>
      <w:r>
        <w:t xml:space="preserve"> </w:t>
      </w:r>
      <w:r>
        <w:rPr>
          <w:b/>
          <w:bCs/>
        </w:rPr>
        <w:t xml:space="preserve">30 basis points</w:t>
      </w:r>
      <w:r>
        <w:t xml:space="preserve"> </w:t>
      </w:r>
      <w:r>
        <w:t xml:space="preserve">to</w:t>
      </w:r>
      <w:r>
        <w:t xml:space="preserve"> </w:t>
      </w:r>
      <w:r>
        <w:rPr>
          <w:b/>
          <w:bCs/>
        </w:rPr>
        <w:t xml:space="preserve">34.1%</w:t>
      </w:r>
      <w:r>
        <w:t xml:space="preserve">, but management said approximately</w:t>
      </w:r>
      <w:r>
        <w:t xml:space="preserve"> </w:t>
      </w:r>
      <w:r>
        <w:rPr>
          <w:b/>
          <w:bCs/>
        </w:rPr>
        <w:t xml:space="preserve">40–50 basis points</w:t>
      </w:r>
      <w:r>
        <w:t xml:space="preserve"> </w:t>
      </w:r>
      <w:r>
        <w:t xml:space="preserve">of benefits were nonrecurring. These included certain byproduct sales, factory-maintenance timing, and somewhat better-than-anticipated cheese costs.</w:t>
      </w:r>
    </w:p>
    <w:p>
      <w:pPr>
        <w:pStyle w:val="BodyText"/>
      </w:pPr>
      <w:r>
        <w:t xml:space="preserve">That means a normalizing margin performance in 2Q should not automatically be interpreted as a fundamental disappointment.</w:t>
      </w:r>
    </w:p>
    <w:bookmarkEnd w:id="13"/>
    <w:bookmarkStart w:id="14" w:name="the-real-margin-questions"/>
    <w:p>
      <w:pPr>
        <w:pStyle w:val="Heading3"/>
      </w:pPr>
      <w:r>
        <w:t xml:space="preserve">The real margin questions</w:t>
      </w:r>
    </w:p>
    <w:p>
      <w:pPr>
        <w:pStyle w:val="FirstParagraph"/>
      </w:pPr>
      <w:r>
        <w:t xml:space="preserve">Investors should focus on:</w:t>
      </w:r>
    </w:p>
    <w:p>
      <w:pPr>
        <w:pStyle w:val="Compact"/>
        <w:numPr>
          <w:ilvl w:val="0"/>
          <w:numId w:val="1005"/>
        </w:numPr>
      </w:pPr>
      <w:r>
        <w:rPr>
          <w:b/>
          <w:bCs/>
        </w:rPr>
        <w:t xml:space="preserve">Marketing and commercial investment:</w:t>
      </w:r>
      <w:r>
        <w:t xml:space="preserve"> </w:t>
      </w:r>
      <w:r>
        <w:t xml:space="preserve">KHC expects full-year marketing spending of at least</w:t>
      </w:r>
      <w:r>
        <w:t xml:space="preserve"> </w:t>
      </w:r>
      <w:r>
        <w:rPr>
          <w:b/>
          <w:bCs/>
        </w:rPr>
        <w:t xml:space="preserve">5.5% of revenue</w:t>
      </w:r>
      <w:r>
        <w:t xml:space="preserve"> </w:t>
      </w:r>
      <w:r>
        <w:t xml:space="preserve">and at least a</w:t>
      </w:r>
      <w:r>
        <w:t xml:space="preserve"> </w:t>
      </w:r>
      <w:r>
        <w:rPr>
          <w:b/>
          <w:bCs/>
        </w:rPr>
        <w:t xml:space="preserve">20% year-over-year increase</w:t>
      </w:r>
      <w:r>
        <w:t xml:space="preserve">. Marketing rose</w:t>
      </w:r>
      <w:r>
        <w:t xml:space="preserve"> </w:t>
      </w:r>
      <w:r>
        <w:rPr>
          <w:b/>
          <w:bCs/>
        </w:rPr>
        <w:t xml:space="preserve">37%</w:t>
      </w:r>
      <w:r>
        <w:t xml:space="preserve"> </w:t>
      </w:r>
      <w:r>
        <w:t xml:space="preserve">in 1Q, partly because of an easier comparison.</w:t>
      </w:r>
    </w:p>
    <w:p>
      <w:pPr>
        <w:pStyle w:val="Compact"/>
        <w:numPr>
          <w:ilvl w:val="0"/>
          <w:numId w:val="1005"/>
        </w:numPr>
      </w:pPr>
      <w:r>
        <w:rPr>
          <w:b/>
          <w:bCs/>
        </w:rPr>
        <w:t xml:space="preserve">Productivity:</w:t>
      </w:r>
      <w:r>
        <w:t xml:space="preserve"> </w:t>
      </w:r>
      <w:r>
        <w:t xml:space="preserve">Management delivered productivity above</w:t>
      </w:r>
      <w:r>
        <w:t xml:space="preserve"> </w:t>
      </w:r>
      <w:r>
        <w:rPr>
          <w:b/>
          <w:bCs/>
        </w:rPr>
        <w:t xml:space="preserve">4% of cost of goods sold</w:t>
      </w:r>
      <w:r>
        <w:t xml:space="preserve"> </w:t>
      </w:r>
      <w:r>
        <w:t xml:space="preserve">in 1Q. Sustaining a strong productivity run-rate is crucial because KHC is reluctant to rely heavily on price increases with consumers under pressure.</w:t>
      </w:r>
    </w:p>
    <w:p>
      <w:pPr>
        <w:pStyle w:val="Compact"/>
        <w:numPr>
          <w:ilvl w:val="0"/>
          <w:numId w:val="1005"/>
        </w:numPr>
      </w:pPr>
      <w:r>
        <w:rPr>
          <w:b/>
          <w:bCs/>
        </w:rPr>
        <w:t xml:space="preserve">Inflation and hedging:</w:t>
      </w:r>
      <w:r>
        <w:t xml:space="preserve"> </w:t>
      </w:r>
      <w:r>
        <w:t xml:space="preserve">Energy and resin costs increased during 1Q. KHC said energy was hedged for the year and resins through mid-3Q, while cautioning that inflation pressure could become more visible in 3Q if conditions persisted.</w:t>
      </w:r>
    </w:p>
    <w:p>
      <w:pPr>
        <w:pStyle w:val="Compact"/>
        <w:numPr>
          <w:ilvl w:val="0"/>
          <w:numId w:val="1005"/>
        </w:numPr>
      </w:pPr>
      <w:r>
        <w:rPr>
          <w:b/>
          <w:bCs/>
        </w:rPr>
        <w:t xml:space="preserve">Price versus affordability:</w:t>
      </w:r>
      <w:r>
        <w:t xml:space="preserve"> </w:t>
      </w:r>
      <w:r>
        <w:t xml:space="preserve">KHC has said it initially planned to recover only about</w:t>
      </w:r>
      <w:r>
        <w:t xml:space="preserve"> </w:t>
      </w:r>
      <w:r>
        <w:rPr>
          <w:b/>
          <w:bCs/>
        </w:rPr>
        <w:t xml:space="preserve">20% of inflation through pricing</w:t>
      </w:r>
      <w:r>
        <w:t xml:space="preserve">, with productivity serving as the primary offset. This reinforces the strategic focus on affordability but leaves limited room for margin protection if inflation rises further.</w:t>
      </w:r>
    </w:p>
    <w:p>
      <w:r>
        <w:pict>
          <v:rect style="width:0;height:1.5pt" o:hralign="center" o:hrstd="t" o:hr="t"/>
        </w:pict>
      </w:r>
    </w:p>
    <w:bookmarkEnd w:id="14"/>
    <w:bookmarkEnd w:id="15"/>
    <w:bookmarkStart w:id="18" w:name="guidance-is-the-major-stock-moving-event"/>
    <w:p>
      <w:pPr>
        <w:pStyle w:val="Heading2"/>
      </w:pPr>
      <w:r>
        <w:t xml:space="preserve">Guidance is the major stock-moving event</w:t>
      </w:r>
    </w:p>
    <w:p>
      <w:pPr>
        <w:pStyle w:val="FirstParagraph"/>
      </w:pPr>
      <w:r>
        <w:t xml:space="preserve">KHC reiterated its full-year outlook in May despite a better-than-expected 1Q. Whether it does so again will likely matter more than a small 2Q EPS beat or miss.</w:t>
      </w:r>
    </w:p>
    <w:bookmarkStart w:id="16" w:name="fy26-guidance"/>
    <w:p>
      <w:pPr>
        <w:pStyle w:val="Heading3"/>
      </w:pPr>
      <w:r>
        <w:t xml:space="preserve">FY26 guidance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Company outlook</w:t>
            </w:r>
          </w:p>
        </w:tc>
      </w:tr>
      <w:tr>
        <w:tc>
          <w:tcPr/>
          <w:p>
            <w:pPr>
              <w:pStyle w:val="Compact"/>
            </w:pPr>
            <w:r>
              <w:t xml:space="preserve">Organic net sales</w:t>
            </w:r>
          </w:p>
        </w:tc>
        <w:tc>
          <w:tcPr/>
          <w:p>
            <w:pPr>
              <w:pStyle w:val="Compact"/>
              <w:jc w:val="right"/>
            </w:pPr>
            <w:r>
              <w:rPr>
                <w:b/>
                <w:bCs/>
              </w:rPr>
              <w:t xml:space="preserve">(1.5%) to (3.5%)</w:t>
            </w:r>
          </w:p>
        </w:tc>
      </w:tr>
      <w:tr>
        <w:tc>
          <w:tcPr/>
          <w:p>
            <w:pPr>
              <w:pStyle w:val="Compact"/>
            </w:pPr>
            <w:r>
              <w:t xml:space="preserve">Constant-currency adjusted operating income</w:t>
            </w:r>
          </w:p>
        </w:tc>
        <w:tc>
          <w:tcPr/>
          <w:p>
            <w:pPr>
              <w:pStyle w:val="Compact"/>
              <w:jc w:val="right"/>
            </w:pPr>
            <w:r>
              <w:rPr>
                <w:b/>
                <w:bCs/>
              </w:rPr>
              <w:t xml:space="preserve">(14%) to (18%)</w:t>
            </w:r>
          </w:p>
        </w:tc>
      </w:tr>
      <w:tr>
        <w:tc>
          <w:tcPr/>
          <w:p>
            <w:pPr>
              <w:pStyle w:val="Compact"/>
            </w:pPr>
            <w:r>
              <w:t xml:space="preserve">Adjusted gross margin</w:t>
            </w:r>
          </w:p>
        </w:tc>
        <w:tc>
          <w:tcPr/>
          <w:p>
            <w:pPr>
              <w:pStyle w:val="Compact"/>
              <w:jc w:val="right"/>
            </w:pPr>
            <w:r>
              <w:rPr>
                <w:b/>
                <w:bCs/>
              </w:rPr>
              <w:t xml:space="preserve">(25) to (75) bps</w:t>
            </w:r>
          </w:p>
        </w:tc>
      </w:tr>
      <w:tr>
        <w:tc>
          <w:tcPr/>
          <w:p>
            <w:pPr>
              <w:pStyle w:val="Compact"/>
            </w:pPr>
            <w:r>
              <w:t xml:space="preserve">Adjusted EPS</w:t>
            </w:r>
          </w:p>
        </w:tc>
        <w:tc>
          <w:tcPr/>
          <w:p>
            <w:pPr>
              <w:pStyle w:val="Compact"/>
              <w:jc w:val="right"/>
            </w:pPr>
            <m:oMath>
              <m:r>
                <m:t>1.98</m:t>
              </m:r>
              <m:r>
                <m:rPr>
                  <m:sty m:val="p"/>
                </m:rPr>
                <m:t>–</m:t>
              </m:r>
            </m:oMath>
            <w:r>
              <w:rPr>
                <w:b/>
                <w:bCs/>
              </w:rPr>
              <w:t xml:space="preserve">2.10</w:t>
            </w:r>
          </w:p>
        </w:tc>
      </w:tr>
      <w:tr>
        <w:tc>
          <w:tcPr/>
          <w:p>
            <w:pPr>
              <w:pStyle w:val="Compact"/>
            </w:pPr>
            <w:r>
              <w:t xml:space="preserve">Free-cash-flow conversion</w:t>
            </w:r>
          </w:p>
        </w:tc>
        <w:tc>
          <w:tcPr/>
          <w:p>
            <w:pPr>
              <w:pStyle w:val="Compact"/>
              <w:jc w:val="right"/>
            </w:pPr>
            <w:r>
              <w:rPr>
                <w:b/>
                <w:bCs/>
              </w:rPr>
              <w:t xml:space="preserve">~100%</w:t>
            </w:r>
          </w:p>
        </w:tc>
      </w:tr>
    </w:tbl>
    <w:bookmarkEnd w:id="16"/>
    <w:bookmarkStart w:id="17" w:name="how-to-interpret-guidance"/>
    <w:p>
      <w:pPr>
        <w:pStyle w:val="Heading3"/>
      </w:pPr>
      <w:r>
        <w:t xml:space="preserve">How to interpret guidance</w:t>
      </w:r>
    </w:p>
    <w:p>
      <w:pPr>
        <w:pStyle w:val="Compact"/>
        <w:numPr>
          <w:ilvl w:val="0"/>
          <w:numId w:val="1006"/>
        </w:numPr>
      </w:pPr>
      <w:r>
        <w:rPr>
          <w:b/>
          <w:bCs/>
        </w:rPr>
        <w:t xml:space="preserve">Reaffirmation with evidence of market-share improvement</w:t>
      </w:r>
      <w:r>
        <w:t xml:space="preserve"> </w:t>
      </w:r>
      <w:r>
        <w:t xml:space="preserve">would likely be viewed constructively. The outlook already anticipates a difficult first half, elevated investment, a SNAP drag, and soft near-term margins.</w:t>
      </w:r>
    </w:p>
    <w:p>
      <w:pPr>
        <w:pStyle w:val="Compact"/>
        <w:numPr>
          <w:ilvl w:val="0"/>
          <w:numId w:val="1006"/>
        </w:numPr>
      </w:pPr>
      <w:r>
        <w:rPr>
          <w:b/>
          <w:bCs/>
        </w:rPr>
        <w:t xml:space="preserve">A cut to sales guidance</w:t>
      </w:r>
      <w:r>
        <w:t xml:space="preserve"> </w:t>
      </w:r>
      <w:r>
        <w:t xml:space="preserve">would be the clearest negative outcome, particularly if driven by weaker U.S. consumption or market-share losses.</w:t>
      </w:r>
    </w:p>
    <w:p>
      <w:pPr>
        <w:pStyle w:val="Compact"/>
        <w:numPr>
          <w:ilvl w:val="0"/>
          <w:numId w:val="1006"/>
        </w:numPr>
      </w:pPr>
      <w:r>
        <w:rPr>
          <w:b/>
          <w:bCs/>
        </w:rPr>
        <w:t xml:space="preserve">A profit-guide cut without a sales cut</w:t>
      </w:r>
      <w:r>
        <w:t xml:space="preserve"> </w:t>
      </w:r>
      <w:r>
        <w:t xml:space="preserve">would put the spotlight on inflation, productivity, or unexpectedly aggressive spending.</w:t>
      </w:r>
    </w:p>
    <w:p>
      <w:pPr>
        <w:pStyle w:val="Compact"/>
        <w:numPr>
          <w:ilvl w:val="0"/>
          <w:numId w:val="1006"/>
        </w:numPr>
      </w:pPr>
      <w:r>
        <w:rPr>
          <w:b/>
          <w:bCs/>
        </w:rPr>
        <w:t xml:space="preserve">An unchanged guide but more confidence in second-half sales recovery</w:t>
      </w:r>
      <w:r>
        <w:t xml:space="preserve"> </w:t>
      </w:r>
      <w:r>
        <w:t xml:space="preserve">could support the stock, provided management’s assumptions are credible.</w:t>
      </w:r>
    </w:p>
    <w:p>
      <w:pPr>
        <w:pStyle w:val="FirstParagraph"/>
      </w:pPr>
      <w:r>
        <w:t xml:space="preserve">Management’s prior second-half framework relies on lapping Indonesia-related disruption, better U.S. share performance as investments ramp, strength behind Heinz in Europe, and improvement in Away From Home and emerging markets.</w:t>
      </w:r>
    </w:p>
    <w:p>
      <w:r>
        <w:pict>
          <v:rect style="width:0;height:1.5pt" o:hralign="center" o:hrstd="t" o:hr="t"/>
        </w:pict>
      </w:r>
    </w:p>
    <w:bookmarkEnd w:id="17"/>
    <w:bookmarkEnd w:id="18"/>
    <w:bookmarkStart w:id="22" w:name="turnaround-proof-points-to-watch"/>
    <w:p>
      <w:pPr>
        <w:pStyle w:val="Heading2"/>
      </w:pPr>
      <w:r>
        <w:t xml:space="preserve">Turnaround proof points to watch</w:t>
      </w:r>
    </w:p>
    <w:bookmarkStart w:id="19" w:name="commercial-investment-deployment"/>
    <w:p>
      <w:pPr>
        <w:pStyle w:val="Heading3"/>
      </w:pPr>
      <w:r>
        <w:t xml:space="preserve">Commercial investment deployment</w:t>
      </w:r>
    </w:p>
    <w:p>
      <w:pPr>
        <w:pStyle w:val="FirstParagraph"/>
      </w:pPr>
      <w:r>
        <w:t xml:space="preserve">KHC announced a</w:t>
      </w:r>
      <w:r>
        <w:t xml:space="preserve"> </w:t>
      </w:r>
      <w:r>
        <w:rPr>
          <w:b/>
          <w:bCs/>
        </w:rPr>
        <w:t xml:space="preserve">$600 million</w:t>
      </w:r>
      <w:r>
        <w:t xml:space="preserve"> </w:t>
      </w:r>
      <w:r>
        <w:t xml:space="preserve">incremental investment program across marketing, sales, R&amp;D, product superiority, and selected pricing actions. At the 1Q call, management said much of the spending was still to be deployed.</w:t>
      </w:r>
    </w:p>
    <w:p>
      <w:pPr>
        <w:pStyle w:val="BodyText"/>
      </w:pPr>
      <w:r>
        <w:t xml:space="preserve">Investors should look for concrete evidence that investment is translating to distribution, velocity, and repeat purchases—not simply higher advertising expense.</w:t>
      </w:r>
    </w:p>
    <w:p>
      <w:pPr>
        <w:pStyle w:val="BodyText"/>
      </w:pPr>
      <w:r>
        <w:t xml:space="preserve">Relevant launches and initiatives include:</w:t>
      </w:r>
    </w:p>
    <w:p>
      <w:pPr>
        <w:pStyle w:val="Compact"/>
        <w:numPr>
          <w:ilvl w:val="0"/>
          <w:numId w:val="1007"/>
        </w:numPr>
      </w:pPr>
      <w:r>
        <w:rPr>
          <w:b/>
          <w:bCs/>
        </w:rPr>
        <w:t xml:space="preserve">PowerMac &amp; Cheese</w:t>
      </w:r>
      <w:r>
        <w:t xml:space="preserve">, launched in April;</w:t>
      </w:r>
    </w:p>
    <w:p>
      <w:pPr>
        <w:pStyle w:val="Compact"/>
        <w:numPr>
          <w:ilvl w:val="0"/>
          <w:numId w:val="1007"/>
        </w:numPr>
      </w:pPr>
      <w:r>
        <w:rPr>
          <w:b/>
          <w:bCs/>
        </w:rPr>
        <w:t xml:space="preserve">Capri Sun Hydrate</w:t>
      </w:r>
      <w:r>
        <w:t xml:space="preserve">;</w:t>
      </w:r>
    </w:p>
    <w:p>
      <w:pPr>
        <w:pStyle w:val="Compact"/>
        <w:numPr>
          <w:ilvl w:val="0"/>
          <w:numId w:val="1007"/>
        </w:numPr>
      </w:pPr>
      <w:r>
        <w:rPr>
          <w:b/>
          <w:bCs/>
        </w:rPr>
        <w:t xml:space="preserve">Ore-Ida</w:t>
      </w:r>
      <w:r>
        <w:t xml:space="preserve"> </w:t>
      </w:r>
      <w:r>
        <w:t xml:space="preserve">innovation;</w:t>
      </w:r>
    </w:p>
    <w:p>
      <w:pPr>
        <w:pStyle w:val="Compact"/>
        <w:numPr>
          <w:ilvl w:val="0"/>
          <w:numId w:val="1007"/>
        </w:numPr>
      </w:pPr>
      <w:r>
        <w:t xml:space="preserve">a</w:t>
      </w:r>
      <w:r>
        <w:t xml:space="preserve"> </w:t>
      </w:r>
      <w:r>
        <w:rPr>
          <w:b/>
          <w:bCs/>
        </w:rPr>
        <w:t xml:space="preserve">Lunchables</w:t>
      </w:r>
      <w:r>
        <w:t xml:space="preserve"> </w:t>
      </w:r>
      <w:r>
        <w:t xml:space="preserve">renovation;</w:t>
      </w:r>
    </w:p>
    <w:p>
      <w:pPr>
        <w:pStyle w:val="Compact"/>
        <w:numPr>
          <w:ilvl w:val="0"/>
          <w:numId w:val="1007"/>
        </w:numPr>
      </w:pPr>
      <w:r>
        <w:rPr>
          <w:b/>
          <w:bCs/>
        </w:rPr>
        <w:t xml:space="preserve">Philadelphia Lactose-Free</w:t>
      </w:r>
      <w:r>
        <w:t xml:space="preserve">;</w:t>
      </w:r>
    </w:p>
    <w:p>
      <w:pPr>
        <w:pStyle w:val="Compact"/>
        <w:numPr>
          <w:ilvl w:val="0"/>
          <w:numId w:val="1007"/>
        </w:numPr>
      </w:pPr>
      <w:r>
        <w:t xml:space="preserve">broader investment behind Heinz, sauces, and Away From Home.</w:t>
      </w:r>
    </w:p>
    <w:bookmarkEnd w:id="19"/>
    <w:bookmarkStart w:id="20" w:name="north-america-operating-model"/>
    <w:p>
      <w:pPr>
        <w:pStyle w:val="Heading3"/>
      </w:pPr>
      <w:r>
        <w:t xml:space="preserve">North America operating model</w:t>
      </w:r>
    </w:p>
    <w:p>
      <w:pPr>
        <w:pStyle w:val="FirstParagraph"/>
      </w:pPr>
      <w:r>
        <w:t xml:space="preserve">KHC has emphasized simplifying the North American operating model and increasing commercial accountability. The U.S. business remains the key swing factor: North America represents the majority of sales and was down</w:t>
      </w:r>
      <w:r>
        <w:t xml:space="preserve"> </w:t>
      </w:r>
      <w:r>
        <w:rPr>
          <w:b/>
          <w:bCs/>
        </w:rPr>
        <w:t xml:space="preserve">1.1% organically</w:t>
      </w:r>
      <w:r>
        <w:t xml:space="preserve"> </w:t>
      </w:r>
      <w:r>
        <w:t xml:space="preserve">in 1Q despite favorable Easter timing.</w:t>
      </w:r>
    </w:p>
    <w:bookmarkEnd w:id="20"/>
    <w:bookmarkStart w:id="21" w:name="X7eff12c4cb92a9a8f7b3c273eab86aa16bb00a9"/>
    <w:p>
      <w:pPr>
        <w:pStyle w:val="Heading3"/>
      </w:pPr>
      <w:r>
        <w:t xml:space="preserve">Portfolio strategy and the paused separation</w:t>
      </w:r>
    </w:p>
    <w:p>
      <w:pPr>
        <w:pStyle w:val="FirstParagraph"/>
      </w:pPr>
      <w:r>
        <w:t xml:space="preserve">Management paused work on the previously contemplated corporate separation in February, arguing that resources should be focused on restoring profitable growth. Investors should listen for whether this remains simply a pause, whether portfolio actions are being considered separately, and whether the company sees any asset divestiture opportunities. But this should be secondary to the operating turnaround; a renewed focus on financial engineering before improved execution would likely be poorly received.</w:t>
      </w:r>
    </w:p>
    <w:p>
      <w:r>
        <w:pict>
          <v:rect style="width:0;height:1.5pt" o:hralign="center" o:hrstd="t" o:hr="t"/>
        </w:pict>
      </w:r>
    </w:p>
    <w:bookmarkEnd w:id="21"/>
    <w:bookmarkEnd w:id="22"/>
    <w:bookmarkStart w:id="23" w:name="X0aa75602c5f263be2fdee49ec91fad0f41233f0"/>
    <w:p>
      <w:pPr>
        <w:pStyle w:val="Heading2"/>
      </w:pPr>
      <w:r>
        <w:t xml:space="preserve">Cash flow and capital allocation: an offsetting strength</w:t>
      </w:r>
    </w:p>
    <w:p>
      <w:pPr>
        <w:pStyle w:val="FirstParagraph"/>
      </w:pPr>
      <w:r>
        <w:t xml:space="preserve">KHC enters the report with meaningful cash-generation capacity despite declining earnings.</w:t>
      </w:r>
    </w:p>
    <w:p>
      <w:pPr>
        <w:pStyle w:val="BodyText"/>
      </w:pPr>
      <w:r>
        <w:t xml:space="preserve">In 1Q26:</w:t>
      </w:r>
    </w:p>
    <w:p>
      <w:pPr>
        <w:pStyle w:val="Compact"/>
        <w:numPr>
          <w:ilvl w:val="0"/>
          <w:numId w:val="1008"/>
        </w:numPr>
      </w:pPr>
      <w:r>
        <w:t xml:space="preserve">operating cash flow rose</w:t>
      </w:r>
      <w:r>
        <w:t xml:space="preserve"> </w:t>
      </w:r>
      <w:r>
        <w:rPr>
          <w:b/>
          <w:bCs/>
        </w:rPr>
        <w:t xml:space="preserve">40%</w:t>
      </w:r>
      <w:r>
        <w:t xml:space="preserve"> </w:t>
      </w:r>
      <w:r>
        <w:t xml:space="preserve">to</w:t>
      </w:r>
      <w:r>
        <w:t xml:space="preserve"> </w:t>
      </w:r>
      <w:r>
        <w:rPr>
          <w:b/>
          <w:bCs/>
        </w:rPr>
        <w:t xml:space="preserve">$1.0 billion</w:t>
      </w:r>
      <w:r>
        <w:t xml:space="preserve">;</w:t>
      </w:r>
    </w:p>
    <w:p>
      <w:pPr>
        <w:pStyle w:val="Compact"/>
        <w:numPr>
          <w:ilvl w:val="0"/>
          <w:numId w:val="1008"/>
        </w:numPr>
      </w:pPr>
      <w:r>
        <w:t xml:space="preserve">free cash flow rose</w:t>
      </w:r>
      <w:r>
        <w:t xml:space="preserve"> </w:t>
      </w:r>
      <w:r>
        <w:rPr>
          <w:b/>
          <w:bCs/>
        </w:rPr>
        <w:t xml:space="preserve">59%</w:t>
      </w:r>
      <w:r>
        <w:t xml:space="preserve"> </w:t>
      </w:r>
      <w:r>
        <w:t xml:space="preserve">to</w:t>
      </w:r>
      <w:r>
        <w:t xml:space="preserve"> </w:t>
      </w:r>
      <w:r>
        <w:rPr>
          <w:b/>
          <w:bCs/>
        </w:rPr>
        <w:t xml:space="preserve">$766 million</w:t>
      </w:r>
      <w:r>
        <w:t xml:space="preserve">;</w:t>
      </w:r>
    </w:p>
    <w:p>
      <w:pPr>
        <w:pStyle w:val="Compact"/>
        <w:numPr>
          <w:ilvl w:val="0"/>
          <w:numId w:val="1008"/>
        </w:numPr>
      </w:pPr>
      <w:r>
        <w:t xml:space="preserve">free-cash-flow conversion reached</w:t>
      </w:r>
      <w:r>
        <w:t xml:space="preserve"> </w:t>
      </w:r>
      <w:r>
        <w:rPr>
          <w:b/>
          <w:bCs/>
        </w:rPr>
        <w:t xml:space="preserve">111%</w:t>
      </w:r>
      <w:r>
        <w:t xml:space="preserve">;</w:t>
      </w:r>
    </w:p>
    <w:p>
      <w:pPr>
        <w:pStyle w:val="Compact"/>
        <w:numPr>
          <w:ilvl w:val="0"/>
          <w:numId w:val="1008"/>
        </w:numPr>
      </w:pPr>
      <w:r>
        <w:t xml:space="preserve">cash and equivalents totaled</w:t>
      </w:r>
      <w:r>
        <w:t xml:space="preserve"> </w:t>
      </w:r>
      <w:r>
        <w:rPr>
          <w:b/>
          <w:bCs/>
        </w:rPr>
        <w:t xml:space="preserve">$3.3 billion</w:t>
      </w:r>
      <w:r>
        <w:t xml:space="preserve"> </w:t>
      </w:r>
      <w:r>
        <w:t xml:space="preserve">at quarter-end.</w:t>
      </w:r>
    </w:p>
    <w:p>
      <w:pPr>
        <w:pStyle w:val="FirstParagraph"/>
      </w:pPr>
      <w:r>
        <w:t xml:space="preserve">Management attributed part of the strength to working-capital timing, inventory optimization, supplier-payment terms, and commodity-derivative collateral. It also cautioned that cash flow could decline in the second half as investment accelerates.</w:t>
      </w:r>
    </w:p>
    <w:p>
      <w:pPr>
        <w:pStyle w:val="BodyText"/>
      </w:pPr>
      <w:r>
        <w:t xml:space="preserve">The balance-sheet watch item is debt repayment. KHC had nearly</w:t>
      </w:r>
      <w:r>
        <w:t xml:space="preserve"> </w:t>
      </w:r>
      <w:r>
        <w:rPr>
          <w:b/>
          <w:bCs/>
        </w:rPr>
        <w:t xml:space="preserve">$1.9 billion</w:t>
      </w:r>
      <w:r>
        <w:t xml:space="preserve"> </w:t>
      </w:r>
      <w:r>
        <w:t xml:space="preserve">of current maturities at the end of 1Q and said it expected to repay debt maturing in 2Q, while considering early repayment of a portion of the following year’s maturities. Confirmation of deleveraging would be constructive, but it is unlikely to outweigh a disappointing commercial outcome.</w:t>
      </w:r>
    </w:p>
    <w:p>
      <w:r>
        <w:pict>
          <v:rect style="width:0;height:1.5pt" o:hralign="center" o:hrstd="t" o:hr="t"/>
        </w:pict>
      </w:r>
    </w:p>
    <w:bookmarkEnd w:id="23"/>
    <w:bookmarkStart w:id="24" w:name="what-would-constitute-a-good-report"/>
    <w:p>
      <w:pPr>
        <w:pStyle w:val="Heading2"/>
      </w:pPr>
      <w:r>
        <w:t xml:space="preserve">What would constitute a good report?</w:t>
      </w:r>
    </w:p>
    <w:p>
      <w:pPr>
        <w:pStyle w:val="FirstParagraph"/>
      </w:pPr>
      <w:r>
        <w:t xml:space="preserve">A constructive 2Q result would likely include:</w:t>
      </w:r>
    </w:p>
    <w:p>
      <w:pPr>
        <w:pStyle w:val="Compact"/>
        <w:numPr>
          <w:ilvl w:val="0"/>
          <w:numId w:val="1009"/>
        </w:numPr>
      </w:pPr>
      <w:r>
        <w:rPr>
          <w:b/>
          <w:bCs/>
        </w:rPr>
        <w:t xml:space="preserve">Organic sales at the favorable end of the expected decline range</w:t>
      </w:r>
      <w:r>
        <w:t xml:space="preserve">—or better—despite Easter and SNAP pressure.</w:t>
      </w:r>
    </w:p>
    <w:p>
      <w:pPr>
        <w:pStyle w:val="Compact"/>
        <w:numPr>
          <w:ilvl w:val="0"/>
          <w:numId w:val="1009"/>
        </w:numPr>
      </w:pPr>
      <w:r>
        <w:rPr>
          <w:b/>
          <w:bCs/>
        </w:rPr>
        <w:t xml:space="preserve">Volume/mix better than the roughly (4.1%) consensus expectation</w:t>
      </w:r>
      <w:r>
        <w:t xml:space="preserve">, particularly in North America.</w:t>
      </w:r>
    </w:p>
    <w:p>
      <w:pPr>
        <w:pStyle w:val="Compact"/>
        <w:numPr>
          <w:ilvl w:val="0"/>
          <w:numId w:val="1009"/>
        </w:numPr>
      </w:pPr>
      <w:r>
        <w:t xml:space="preserve">Continued improvement in market-share metrics, including Taste Elevation and the overall U.S. portfolio.</w:t>
      </w:r>
    </w:p>
    <w:p>
      <w:pPr>
        <w:pStyle w:val="Compact"/>
        <w:numPr>
          <w:ilvl w:val="0"/>
          <w:numId w:val="1009"/>
        </w:numPr>
      </w:pPr>
      <w:r>
        <w:t xml:space="preserve">Margin performance consistent with the expected investment ramp, without evidence that productivity is faltering.</w:t>
      </w:r>
    </w:p>
    <w:p>
      <w:pPr>
        <w:pStyle w:val="Compact"/>
        <w:numPr>
          <w:ilvl w:val="0"/>
          <w:numId w:val="1009"/>
        </w:numPr>
      </w:pPr>
      <w:r>
        <w:t xml:space="preserve">A reaffirmed FY26 outlook, ideally paired with confidence in a second-half top-line improvement.</w:t>
      </w:r>
    </w:p>
    <w:p>
      <w:pPr>
        <w:pStyle w:val="Compact"/>
        <w:numPr>
          <w:ilvl w:val="0"/>
          <w:numId w:val="1009"/>
        </w:numPr>
      </w:pPr>
      <w:r>
        <w:t xml:space="preserve">Specific evidence that new-product launches, better distribution, and sales execution are producing measurable returns.</w:t>
      </w:r>
    </w:p>
    <w:bookmarkEnd w:id="24"/>
    <w:bookmarkStart w:id="25" w:name="what-would-constitute-a-bad-report"/>
    <w:p>
      <w:pPr>
        <w:pStyle w:val="Heading2"/>
      </w:pPr>
      <w:r>
        <w:t xml:space="preserve">What would constitute a bad report?</w:t>
      </w:r>
    </w:p>
    <w:p>
      <w:pPr>
        <w:pStyle w:val="FirstParagraph"/>
      </w:pPr>
      <w:r>
        <w:t xml:space="preserve">The most concerning combination would be:</w:t>
      </w:r>
    </w:p>
    <w:p>
      <w:pPr>
        <w:pStyle w:val="Compact"/>
        <w:numPr>
          <w:ilvl w:val="0"/>
          <w:numId w:val="1010"/>
        </w:numPr>
      </w:pPr>
      <w:r>
        <w:t xml:space="preserve">Organic sales below the company’s own</w:t>
      </w:r>
      <w:r>
        <w:t xml:space="preserve"> </w:t>
      </w:r>
      <w:r>
        <w:rPr>
          <w:b/>
          <w:bCs/>
        </w:rPr>
        <w:t xml:space="preserve">(3%) to (5%)</w:t>
      </w:r>
      <w:r>
        <w:t xml:space="preserve"> </w:t>
      </w:r>
      <w:r>
        <w:t xml:space="preserve">2Q framework;</w:t>
      </w:r>
    </w:p>
    <w:p>
      <w:pPr>
        <w:pStyle w:val="Compact"/>
        <w:numPr>
          <w:ilvl w:val="0"/>
          <w:numId w:val="1010"/>
        </w:numPr>
      </w:pPr>
      <w:r>
        <w:t xml:space="preserve">broad-based volume and share deterioration, especially in North America;</w:t>
      </w:r>
    </w:p>
    <w:p>
      <w:pPr>
        <w:pStyle w:val="Compact"/>
        <w:numPr>
          <w:ilvl w:val="0"/>
          <w:numId w:val="1010"/>
        </w:numPr>
      </w:pPr>
      <w:r>
        <w:t xml:space="preserve">a margin miss caused by weak productivity or more severe inflation;</w:t>
      </w:r>
    </w:p>
    <w:p>
      <w:pPr>
        <w:pStyle w:val="Compact"/>
        <w:numPr>
          <w:ilvl w:val="0"/>
          <w:numId w:val="1010"/>
        </w:numPr>
      </w:pPr>
      <w:r>
        <w:t xml:space="preserve">lowered full-year sales or EPS guidance;</w:t>
      </w:r>
    </w:p>
    <w:p>
      <w:pPr>
        <w:pStyle w:val="Compact"/>
        <w:numPr>
          <w:ilvl w:val="0"/>
          <w:numId w:val="1010"/>
        </w:numPr>
      </w:pPr>
      <w:r>
        <w:t xml:space="preserve">vague commentary on the payoff from the $600 million investment program.</w:t>
      </w:r>
    </w:p>
    <w:p>
      <w:r>
        <w:pict>
          <v:rect style="width:0;height:1.5pt" o:hralign="center" o:hrstd="t" o:hr="t"/>
        </w:pict>
      </w:r>
    </w:p>
    <w:bookmarkEnd w:id="25"/>
    <w:bookmarkStart w:id="26" w:name="key-questions-for-management"/>
    <w:p>
      <w:pPr>
        <w:pStyle w:val="Heading2"/>
      </w:pPr>
      <w:r>
        <w:t xml:space="preserve">Key questions for management</w:t>
      </w:r>
    </w:p>
    <w:p>
      <w:pPr>
        <w:pStyle w:val="Compact"/>
        <w:numPr>
          <w:ilvl w:val="0"/>
          <w:numId w:val="1011"/>
        </w:numPr>
      </w:pPr>
      <w:r>
        <w:rPr>
          <w:b/>
          <w:bCs/>
        </w:rPr>
        <w:t xml:space="preserve">How much of the 2Q organic-sales decline was calendar-driven versus underlying demand weakness?</w:t>
      </w:r>
    </w:p>
    <w:p>
      <w:pPr>
        <w:pStyle w:val="Compact"/>
        <w:numPr>
          <w:ilvl w:val="0"/>
          <w:numId w:val="1011"/>
        </w:numPr>
      </w:pPr>
      <w:r>
        <w:rPr>
          <w:b/>
          <w:bCs/>
        </w:rPr>
        <w:t xml:space="preserve">What was the sequential trend in U.S. market share through June and July?</w:t>
      </w:r>
    </w:p>
    <w:p>
      <w:pPr>
        <w:pStyle w:val="Compact"/>
        <w:numPr>
          <w:ilvl w:val="0"/>
          <w:numId w:val="1011"/>
        </w:numPr>
      </w:pPr>
      <w:r>
        <w:rPr>
          <w:b/>
          <w:bCs/>
        </w:rPr>
        <w:t xml:space="preserve">Did the 1Q share gains in Taste Elevation, Hydration, and desserts persist after Easter-related demand normalized?</w:t>
      </w:r>
    </w:p>
    <w:p>
      <w:pPr>
        <w:pStyle w:val="Compact"/>
        <w:numPr>
          <w:ilvl w:val="0"/>
          <w:numId w:val="1011"/>
        </w:numPr>
      </w:pPr>
      <w:r>
        <w:rPr>
          <w:b/>
          <w:bCs/>
        </w:rPr>
        <w:t xml:space="preserve">How much of the $600 million program has now been deployed, and what measurable returns are management seeing?</w:t>
      </w:r>
    </w:p>
    <w:p>
      <w:pPr>
        <w:pStyle w:val="Compact"/>
        <w:numPr>
          <w:ilvl w:val="0"/>
          <w:numId w:val="1011"/>
        </w:numPr>
      </w:pPr>
      <w:r>
        <w:rPr>
          <w:b/>
          <w:bCs/>
        </w:rPr>
        <w:t xml:space="preserve">What is the latest SNAP impact, and is the 100-basis-point full-year assumption still appropriate?</w:t>
      </w:r>
    </w:p>
    <w:p>
      <w:pPr>
        <w:pStyle w:val="Compact"/>
        <w:numPr>
          <w:ilvl w:val="0"/>
          <w:numId w:val="1011"/>
        </w:numPr>
      </w:pPr>
      <w:r>
        <w:rPr>
          <w:b/>
          <w:bCs/>
        </w:rPr>
        <w:t xml:space="preserve">Are energy, resin, coffee, meat, and logistics costs evolving in line with the full-year margin outlook?</w:t>
      </w:r>
    </w:p>
    <w:p>
      <w:pPr>
        <w:pStyle w:val="Compact"/>
        <w:numPr>
          <w:ilvl w:val="0"/>
          <w:numId w:val="1011"/>
        </w:numPr>
      </w:pPr>
      <w:r>
        <w:rPr>
          <w:b/>
          <w:bCs/>
        </w:rPr>
        <w:t xml:space="preserve">Does management still expect 2H organic-sales improvement, and what are the principal building blocks?</w:t>
      </w:r>
    </w:p>
    <w:p>
      <w:pPr>
        <w:pStyle w:val="Compact"/>
        <w:numPr>
          <w:ilvl w:val="0"/>
          <w:numId w:val="1011"/>
        </w:numPr>
      </w:pPr>
      <w:r>
        <w:rPr>
          <w:b/>
          <w:bCs/>
        </w:rPr>
        <w:t xml:space="preserve">How much debt was repaid in 2Q, and how should investors think about buybacks relative to deleveraging and commercial investment?</w:t>
      </w:r>
    </w:p>
    <w:bookmarkEnd w:id="26"/>
    <w:bookmarkStart w:id="27" w:name="investment-framing"/>
    <w:p>
      <w:pPr>
        <w:pStyle w:val="Heading2"/>
      </w:pPr>
      <w:r>
        <w:t xml:space="preserve">Investment framing</w:t>
      </w:r>
    </w:p>
    <w:p>
      <w:pPr>
        <w:pStyle w:val="FirstParagraph"/>
      </w:pPr>
      <w:r>
        <w:t xml:space="preserve">KHC is a</w:t>
      </w:r>
      <w:r>
        <w:t xml:space="preserve"> </w:t>
      </w:r>
      <w:r>
        <w:rPr>
          <w:b/>
          <w:bCs/>
        </w:rPr>
        <w:t xml:space="preserve">prove-it turnaround</w:t>
      </w:r>
      <w:r>
        <w:t xml:space="preserve"> </w:t>
      </w:r>
      <w:r>
        <w:t xml:space="preserve">rather than a clean earnings-recovery story. The market is already expecting a difficult 2Q, so a modest EPS shortfall may be less important than whether management can validate improving U.S. share, better innovation execution, and a credible path to second-half stabilization.</w:t>
      </w:r>
    </w:p>
    <w:p>
      <w:pPr>
        <w:pStyle w:val="BodyText"/>
      </w:pPr>
      <w:r>
        <w:t xml:space="preserve">The near-term hurdle is low on absolute earnings but rising on execution credibility. A report that confirms the expected 2Q trough while preserving the full-year roadmap could extend the stock’s recovery. A report showing that volume weakness is structural—or that commercial spending is failing to generate traction—would likely reopen the downside debate.</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2026-08-05T00:29:09Z</dcterms:created>
  <dcterms:modified xsi:type="dcterms:W3CDTF">2026-08-05T00:29:09Z</dcterms:modified>
</cp:coreProperties>
</file>

<file path=docProps/custom.xml><?xml version="1.0" encoding="utf-8"?>
<Properties xmlns="http://schemas.openxmlformats.org/officeDocument/2006/custom-properties" xmlns:vt="http://schemas.openxmlformats.org/officeDocument/2006/docPropsVTypes"/>
</file>