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Kraft Heinz Company (KHC)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Kraft Heinz Company</w:t>
            </w:r>
          </w:p>
        </w:tc>
      </w:tr>
      <w:tr>
        <w:tc>
          <w:tcPr>
            <w:tcW w:type="dxa" w:w="4320"/>
          </w:tcPr>
          <w:p>
            <w:r>
              <w:rPr>
                <w:rFonts w:ascii="Calibri" w:hAnsi="Calibri"/>
                <w:b/>
                <w:sz w:val="22"/>
              </w:rPr>
              <w:t>Ticker</w:t>
            </w:r>
          </w:p>
        </w:tc>
        <w:tc>
          <w:tcPr>
            <w:tcW w:type="dxa" w:w="4320"/>
          </w:tcPr>
          <w:p>
            <w:r>
              <w:rPr>
                <w:rFonts w:ascii="Calibri" w:hAnsi="Calibri"/>
                <w:sz w:val="22"/>
              </w:rPr>
              <w:t>KHC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28, 2026)</w:t>
            </w:r>
          </w:p>
        </w:tc>
      </w:tr>
      <w:tr>
        <w:tc>
          <w:tcPr>
            <w:tcW w:type="dxa" w:w="4320"/>
          </w:tcPr>
          <w:p>
            <w:r>
              <w:rPr>
                <w:rFonts w:ascii="Calibri" w:hAnsi="Calibri"/>
                <w:b/>
                <w:sz w:val="22"/>
              </w:rPr>
              <w:t>Upcoming Earnings Date</w:t>
            </w:r>
          </w:p>
        </w:tc>
        <w:tc>
          <w:tcPr>
            <w:tcW w:type="dxa" w:w="4320"/>
          </w:tcPr>
          <w:p>
            <w:r>
              <w:rPr>
                <w:rFonts w:ascii="Calibri" w:hAnsi="Calibri"/>
                <w:sz w:val="22"/>
              </w:rPr>
              <w:t>August 5,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Last Earnings Date</w:t>
            </w:r>
          </w:p>
        </w:tc>
        <w:tc>
          <w:tcPr>
            <w:tcW w:type="dxa" w:w="4320"/>
          </w:tcPr>
          <w:p>
            <w:r>
              <w:rPr>
                <w:rFonts w:ascii="Calibri" w:hAnsi="Calibri"/>
                <w:sz w:val="22"/>
              </w:rPr>
              <w:t>May 6,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is a deliberately low bar — management guided organic growth of </w:t>
      </w:r>
      <w:r>
        <w:rPr>
          <w:rFonts w:ascii="Calibri" w:hAnsi="Calibri"/>
          <w:b/>
          <w:color w:val="525866"/>
          <w:sz w:val="22"/>
        </w:rPr>
        <w:t>-3% to -5%</w:t>
      </w:r>
      <w:r>
        <w:rPr>
          <w:rFonts w:ascii="Calibri" w:hAnsi="Calibri"/>
          <w:color w:val="525866"/>
          <w:sz w:val="22"/>
        </w:rPr>
        <w:t xml:space="preserve"> for the quarter, citing Easter timing shift and SNAP headwinds, and consensus has been revised down accordingly. The single biggest swing factor is whether the </w:t>
      </w:r>
      <w:r>
        <w:rPr>
          <w:rFonts w:ascii="Calibri" w:hAnsi="Calibri"/>
          <w:b/>
          <w:color w:val="525866"/>
          <w:sz w:val="22"/>
        </w:rPr>
        <w:t>market share momentum</w:t>
      </w:r>
      <w:r>
        <w:rPr>
          <w:rFonts w:ascii="Calibri" w:hAnsi="Calibri"/>
          <w:color w:val="525866"/>
          <w:sz w:val="22"/>
        </w:rPr>
        <w:t xml:space="preserve"> seen exiting Q1 (Taste Elevation holding/gaining in ~70% of categories) has held through the quarter, and whether the </w:t>
      </w:r>
      <w:r>
        <w:rPr>
          <w:rFonts w:ascii="Calibri" w:hAnsi="Calibri"/>
          <w:b/>
          <w:color w:val="525866"/>
          <w:sz w:val="22"/>
        </w:rPr>
        <w:t>$600M investment ramp</w:t>
      </w:r>
      <w:r>
        <w:rPr>
          <w:rFonts w:ascii="Calibri" w:hAnsi="Calibri"/>
          <w:color w:val="525866"/>
          <w:sz w:val="22"/>
        </w:rPr>
        <w:t xml:space="preserve"> is showing early commercial traction.</w:t>
      </w:r>
    </w:p>
    <w:p>
      <w:r>
        <w:rPr>
          <w:rFonts w:ascii="Calibri" w:hAnsi="Calibri"/>
          <w:color w:val="525866"/>
          <w:sz w:val="22"/>
        </w:rPr>
        <w:t xml:space="preserve">Heading into Q2 2026, KHC faces a deliberately set low bar — management explicitly guided organic net sales to </w:t>
      </w:r>
      <w:r>
        <w:rPr>
          <w:rFonts w:ascii="Calibri" w:hAnsi="Calibri"/>
          <w:b/>
          <w:color w:val="525866"/>
          <w:sz w:val="22"/>
        </w:rPr>
        <w:t>-3% to -5%</w:t>
      </w:r>
      <w:r>
        <w:rPr>
          <w:rFonts w:ascii="Calibri" w:hAnsi="Calibri"/>
          <w:color w:val="525866"/>
          <w:sz w:val="22"/>
        </w:rPr>
        <w:t xml:space="preserve"> for the quarter, driven by the Easter timing shift and the full onset of the ~100bps SNAP headwind that was only partially felt in Q1. Consensus has tracked this guidance closely, with Q2 organic growth estimates sitting at approximately </w:t>
      </w:r>
      <w:r>
        <w:rPr>
          <w:rFonts w:ascii="Calibri" w:hAnsi="Calibri"/>
          <w:b/>
          <w:color w:val="525866"/>
          <w:sz w:val="22"/>
        </w:rPr>
        <w:t>-3.6%</w:t>
      </w:r>
      <w:r>
        <w:rPr>
          <w:rFonts w:ascii="Calibri" w:hAnsi="Calibri"/>
          <w:color w:val="525866"/>
          <w:sz w:val="22"/>
        </w:rPr>
        <w:t xml:space="preserve"> and net sales consensus of ~$6.12B, modestly above the post-Q1 baseline. The stock has been a notable outperformer since the Q1 print (</w:t>
      </w:r>
      <w:r>
        <w:rPr>
          <w:rFonts w:ascii="Calibri" w:hAnsi="Calibri"/>
          <w:b/>
          <w:color w:val="525866"/>
          <w:sz w:val="22"/>
        </w:rPr>
        <w:t>+15.5% vs. XLP +1.3% and SPY +5.1%</w:t>
      </w:r>
      <w:r>
        <w:rPr>
          <w:rFonts w:ascii="Calibri" w:hAnsi="Calibri"/>
          <w:color w:val="525866"/>
          <w:sz w:val="22"/>
        </w:rPr>
        <w:t xml:space="preserve">), suggesting the market has already begun pricing in a turnaround narrative — which raises the bar for what constitutes a positive surprise. Management's posture at the Deutsche Bank conference in June was constructive: CEO Cahillane framed the $600M investment as a </w:t>
      </w:r>
      <w:r>
        <w:rPr>
          <w:rFonts w:ascii="Calibri" w:hAnsi="Calibri"/>
          <w:b/>
          <w:color w:val="525866"/>
          <w:sz w:val="22"/>
        </w:rPr>
        <w:t>"base mark" with upside optionality</w:t>
      </w:r>
      <w:r>
        <w:rPr>
          <w:rFonts w:ascii="Calibri" w:hAnsi="Calibri"/>
          <w:color w:val="525866"/>
          <w:sz w:val="22"/>
        </w:rPr>
        <w:t xml:space="preserve">, highlighted that Taste Elevation market share held near 70% over the last 13 weeks, and described retailer reception as "extremely positive." The wildcard is </w:t>
      </w:r>
      <w:r>
        <w:rPr>
          <w:rFonts w:ascii="Calibri" w:hAnsi="Calibri"/>
          <w:b/>
          <w:color w:val="525866"/>
          <w:sz w:val="22"/>
        </w:rPr>
        <w:t>inflation</w:t>
      </w:r>
      <w:r>
        <w:rPr>
          <w:rFonts w:ascii="Calibri" w:hAnsi="Calibri"/>
          <w:color w:val="525866"/>
          <w:sz w:val="22"/>
        </w:rPr>
        <w:t xml:space="preserve"> — the company is hedged on energy through year-end but only on resins through mid-Q3, and management flagged potential Q3 pressure from Middle East-driven energy/resin cost spikes; any pull-forward of that pressure into Q2 could weigh on gross margin, which consensus already expects down ~25-75bps for the full year.</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the top line</w:t>
      </w:r>
      <w:r>
        <w:rPr>
          <w:rFonts w:ascii="Calibri" w:hAnsi="Calibri"/>
          <w:color w:val="525866"/>
          <w:sz w:val="22"/>
        </w:rPr>
        <w:t xml:space="preserve"> (management guided -3% to -5% organic), but </w:t>
      </w:r>
      <w:r>
        <w:rPr>
          <w:rFonts w:ascii="Calibri" w:hAnsi="Calibri"/>
          <w:b/>
          <w:color w:val="525866"/>
          <w:sz w:val="22"/>
        </w:rPr>
        <w:t>gross margin is the real swing factor</w:t>
      </w:r>
      <w:r>
        <w:rPr>
          <w:rFonts w:ascii="Calibri" w:hAnsi="Calibri"/>
          <w:color w:val="525866"/>
          <w:sz w:val="22"/>
        </w:rPr>
        <w:t xml:space="preserve"> — Q1 had ~40-50bps of non-recurring tailwinds that won’t repeat, and the SNAP headwind kicks in fully in Q2.</w:t>
      </w:r>
    </w:p>
    <w:p>
      <w:pPr>
        <w:pStyle w:val="Heading3"/>
      </w:pPr>
      <w:r>
        <w:rPr>
          <w:rFonts w:ascii="Calibri" w:hAnsi="Calibri"/>
          <w:b/>
          <w:color w:val="3B4259"/>
          <w:sz w:val="24"/>
        </w:rPr>
        <w:t>Table 1 — Current Quarter Snapshot (Q2 2026,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$6.047B</w:t>
            </w:r>
          </w:p>
        </w:tc>
        <w:tc>
          <w:tcPr>
            <w:tcW w:type="dxa" w:w="1234"/>
          </w:tcPr>
          <w:p>
            <w:r>
              <w:rPr>
                <w:rFonts w:ascii="Calibri" w:hAnsi="Calibri"/>
                <w:sz w:val="22"/>
              </w:rPr>
              <w:t>$6.352B</w:t>
            </w:r>
          </w:p>
        </w:tc>
        <w:tc>
          <w:tcPr>
            <w:tcW w:type="dxa" w:w="1234"/>
          </w:tcPr>
          <w:p>
            <w:r>
              <w:rPr>
                <w:rFonts w:ascii="Calibri" w:hAnsi="Calibri"/>
                <w:sz w:val="22"/>
              </w:rPr>
              <w:t>$6.120B</w:t>
            </w:r>
          </w:p>
        </w:tc>
        <w:tc>
          <w:tcPr>
            <w:tcW w:type="dxa" w:w="1234"/>
          </w:tcPr>
          <w:p>
            <w:r>
              <w:rPr>
                <w:rFonts w:ascii="Calibri" w:hAnsi="Calibri"/>
                <w:sz w:val="22"/>
              </w:rPr>
              <w:t>-3.7%</w:t>
            </w:r>
          </w:p>
        </w:tc>
        <w:tc>
          <w:tcPr>
            <w:tcW w:type="dxa" w:w="1234"/>
          </w:tcPr>
          <w:p>
            <w:r>
              <w:rPr>
                <w:rFonts w:ascii="Calibri" w:hAnsi="Calibri"/>
                <w:sz w:val="22"/>
              </w:rPr>
              <w:t>N/A (no specific Q2 guide)</w:t>
            </w:r>
          </w:p>
        </w:tc>
        <w:tc>
          <w:tcPr>
            <w:tcW w:type="dxa" w:w="1234"/>
          </w:tcPr>
          <w:p>
            <w:r>
              <w:rPr>
                <w:rFonts w:ascii="Calibri" w:hAnsi="Calibri"/>
                <w:sz w:val="22"/>
              </w:rPr>
              <w:t>N/A</w:t>
            </w:r>
          </w:p>
        </w:tc>
      </w:tr>
      <w:tr>
        <w:tc>
          <w:tcPr>
            <w:tcW w:type="dxa" w:w="1234"/>
          </w:tcPr>
          <w:p>
            <w:r>
              <w:rPr>
                <w:rFonts w:ascii="Calibri" w:hAnsi="Calibri"/>
                <w:sz w:val="22"/>
              </w:rPr>
              <w:t>Organic Net Sales Growth (%)</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-3.6%</w:t>
            </w:r>
          </w:p>
        </w:tc>
        <w:tc>
          <w:tcPr>
            <w:tcW w:type="dxa" w:w="1234"/>
          </w:tcPr>
          <w:p>
            <w:r>
              <w:rPr>
                <w:rFonts w:ascii="Calibri" w:hAnsi="Calibri"/>
                <w:sz w:val="22"/>
              </w:rPr>
              <w:t>-160bps</w:t>
            </w:r>
          </w:p>
        </w:tc>
        <w:tc>
          <w:tcPr>
            <w:tcW w:type="dxa" w:w="1234"/>
          </w:tcPr>
          <w:p>
            <w:r>
              <w:rPr>
                <w:rFonts w:ascii="Calibri" w:hAnsi="Calibri"/>
                <w:sz w:val="22"/>
              </w:rPr>
              <w:t>-3% to -5% (Q2 guide)</w:t>
            </w:r>
          </w:p>
        </w:tc>
        <w:tc>
          <w:tcPr>
            <w:tcW w:type="dxa" w:w="1234"/>
          </w:tcPr>
          <w:p>
            <w:r>
              <w:rPr>
                <w:rFonts w:ascii="Calibri" w:hAnsi="Calibri"/>
                <w:sz w:val="22"/>
              </w:rPr>
              <w:t>At midpoint</w:t>
            </w:r>
          </w:p>
        </w:tc>
      </w:tr>
      <w:tr>
        <w:tc>
          <w:tcPr>
            <w:tcW w:type="dxa" w:w="1234"/>
          </w:tcPr>
          <w:p>
            <w:r>
              <w:rPr>
                <w:rFonts w:ascii="Calibri" w:hAnsi="Calibri"/>
                <w:sz w:val="22"/>
              </w:rPr>
              <w:t>Adj. Gross Profit ($B)</w:t>
            </w:r>
          </w:p>
        </w:tc>
        <w:tc>
          <w:tcPr>
            <w:tcW w:type="dxa" w:w="1234"/>
          </w:tcPr>
          <w:p>
            <w:r>
              <w:rPr>
                <w:rFonts w:ascii="Calibri" w:hAnsi="Calibri"/>
                <w:sz w:val="22"/>
              </w:rPr>
              <w:t>$2.064B</w:t>
            </w:r>
          </w:p>
        </w:tc>
        <w:tc>
          <w:tcPr>
            <w:tcW w:type="dxa" w:w="1234"/>
          </w:tcPr>
          <w:p>
            <w:r>
              <w:rPr>
                <w:rFonts w:ascii="Calibri" w:hAnsi="Calibri"/>
                <w:sz w:val="22"/>
              </w:rPr>
              <w:t>$2.168B</w:t>
            </w:r>
          </w:p>
        </w:tc>
        <w:tc>
          <w:tcPr>
            <w:tcW w:type="dxa" w:w="1234"/>
          </w:tcPr>
          <w:p>
            <w:r>
              <w:rPr>
                <w:rFonts w:ascii="Calibri" w:hAnsi="Calibri"/>
                <w:sz w:val="22"/>
              </w:rPr>
              <w:t>$2.051B</w:t>
            </w:r>
          </w:p>
        </w:tc>
        <w:tc>
          <w:tcPr>
            <w:tcW w:type="dxa" w:w="1234"/>
          </w:tcPr>
          <w:p>
            <w:r>
              <w:rPr>
                <w:rFonts w:ascii="Calibri" w:hAnsi="Calibri"/>
                <w:sz w:val="22"/>
              </w:rPr>
              <w:t>-5.4%</w:t>
            </w:r>
          </w:p>
        </w:tc>
        <w:tc>
          <w:tcPr>
            <w:tcW w:type="dxa" w:w="1234"/>
          </w:tcPr>
          <w:p>
            <w:r>
              <w:rPr>
                <w:rFonts w:ascii="Calibri" w:hAnsi="Calibri"/>
                <w:sz w:val="22"/>
              </w:rPr>
              <w:t>FY: -25 to -75bps margin</w:t>
            </w:r>
          </w:p>
        </w:tc>
        <w:tc>
          <w:tcPr>
            <w:tcW w:type="dxa" w:w="1234"/>
          </w:tcPr>
          <w:p>
            <w:r>
              <w:rPr>
                <w:rFonts w:ascii="Calibri" w:hAnsi="Calibri"/>
                <w:sz w:val="22"/>
              </w:rPr>
              <w:t>In line</w:t>
            </w:r>
          </w:p>
        </w:tc>
      </w:tr>
      <w:tr>
        <w:tc>
          <w:tcPr>
            <w:tcW w:type="dxa" w:w="1234"/>
          </w:tcPr>
          <w:p>
            <w:r>
              <w:rPr>
                <w:rFonts w:ascii="Calibri" w:hAnsi="Calibri"/>
                <w:sz w:val="22"/>
              </w:rPr>
              <w:t>Adj. EBITDA ($B)</w:t>
            </w:r>
          </w:p>
        </w:tc>
        <w:tc>
          <w:tcPr>
            <w:tcW w:type="dxa" w:w="1234"/>
          </w:tcPr>
          <w:p>
            <w:r>
              <w:rPr>
                <w:rFonts w:ascii="Calibri" w:hAnsi="Calibri"/>
                <w:sz w:val="22"/>
              </w:rPr>
              <w:t>$1.312B</w:t>
            </w:r>
          </w:p>
        </w:tc>
        <w:tc>
          <w:tcPr>
            <w:tcW w:type="dxa" w:w="1234"/>
          </w:tcPr>
          <w:p>
            <w:r>
              <w:rPr>
                <w:rFonts w:ascii="Calibri" w:hAnsi="Calibri"/>
                <w:sz w:val="22"/>
              </w:rPr>
              <w:t>$1.530B</w:t>
            </w:r>
          </w:p>
        </w:tc>
        <w:tc>
          <w:tcPr>
            <w:tcW w:type="dxa" w:w="1234"/>
          </w:tcPr>
          <w:p>
            <w:r>
              <w:rPr>
                <w:rFonts w:ascii="Calibri" w:hAnsi="Calibri"/>
                <w:sz w:val="22"/>
              </w:rPr>
              <w:t>$1.290B</w:t>
            </w:r>
          </w:p>
        </w:tc>
        <w:tc>
          <w:tcPr>
            <w:tcW w:type="dxa" w:w="1234"/>
          </w:tcPr>
          <w:p>
            <w:r>
              <w:rPr>
                <w:rFonts w:ascii="Calibri" w:hAnsi="Calibri"/>
                <w:sz w:val="22"/>
              </w:rPr>
              <w:t>-15.7%</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EPS (Diluted)</w:t>
            </w:r>
          </w:p>
        </w:tc>
        <w:tc>
          <w:tcPr>
            <w:tcW w:type="dxa" w:w="1234"/>
          </w:tcPr>
          <w:p>
            <w:r>
              <w:rPr>
                <w:rFonts w:ascii="Calibri" w:hAnsi="Calibri"/>
                <w:sz w:val="22"/>
              </w:rPr>
              <w:t>$0.58</w:t>
            </w:r>
          </w:p>
        </w:tc>
        <w:tc>
          <w:tcPr>
            <w:tcW w:type="dxa" w:w="1234"/>
          </w:tcPr>
          <w:p>
            <w:r>
              <w:rPr>
                <w:rFonts w:ascii="Calibri" w:hAnsi="Calibri"/>
                <w:sz w:val="22"/>
              </w:rPr>
              <w:t>$0.69</w:t>
            </w:r>
          </w:p>
        </w:tc>
        <w:tc>
          <w:tcPr>
            <w:tcW w:type="dxa" w:w="1234"/>
          </w:tcPr>
          <w:p>
            <w:r>
              <w:rPr>
                <w:rFonts w:ascii="Calibri" w:hAnsi="Calibri"/>
                <w:sz w:val="22"/>
              </w:rPr>
              <w:t>$0.528</w:t>
            </w:r>
          </w:p>
        </w:tc>
        <w:tc>
          <w:tcPr>
            <w:tcW w:type="dxa" w:w="1234"/>
          </w:tcPr>
          <w:p>
            <w:r>
              <w:rPr>
                <w:rFonts w:ascii="Calibri" w:hAnsi="Calibri"/>
                <w:sz w:val="22"/>
              </w:rPr>
              <w:t>-23.5%</w:t>
            </w:r>
          </w:p>
        </w:tc>
        <w:tc>
          <w:tcPr>
            <w:tcW w:type="dxa" w:w="1234"/>
          </w:tcPr>
          <w:p>
            <w:r>
              <w:rPr>
                <w:rFonts w:ascii="Calibri" w:hAnsi="Calibri"/>
                <w:sz w:val="22"/>
              </w:rPr>
              <w:t>FY: $1.98–$2.10</w:t>
            </w:r>
          </w:p>
        </w:tc>
        <w:tc>
          <w:tcPr>
            <w:tcW w:type="dxa" w:w="1234"/>
          </w:tcPr>
          <w:p>
            <w:r>
              <w:rPr>
                <w:rFonts w:ascii="Calibri" w:hAnsi="Calibri"/>
                <w:sz w:val="22"/>
              </w:rPr>
              <w:t>Tracking</w:t>
            </w:r>
          </w:p>
        </w:tc>
      </w:tr>
      <w:tr>
        <w:tc>
          <w:tcPr>
            <w:tcW w:type="dxa" w:w="1234"/>
          </w:tcPr>
          <w:p>
            <w:r>
              <w:rPr>
                <w:rFonts w:ascii="Calibri" w:hAnsi="Calibri"/>
                <w:sz w:val="22"/>
              </w:rPr>
              <w:t>SG&amp;A — Operating ($B)</w:t>
            </w:r>
          </w:p>
        </w:tc>
        <w:tc>
          <w:tcPr>
            <w:tcW w:type="dxa" w:w="1234"/>
          </w:tcPr>
          <w:p>
            <w:r>
              <w:rPr>
                <w:rFonts w:ascii="Calibri" w:hAnsi="Calibri"/>
                <w:sz w:val="22"/>
              </w:rPr>
              <w:t>$1.006B</w:t>
            </w:r>
          </w:p>
        </w:tc>
        <w:tc>
          <w:tcPr>
            <w:tcW w:type="dxa" w:w="1234"/>
          </w:tcPr>
          <w:p>
            <w:r>
              <w:rPr>
                <w:rFonts w:ascii="Calibri" w:hAnsi="Calibri"/>
                <w:sz w:val="22"/>
              </w:rPr>
              <w:t>$0.892B</w:t>
            </w:r>
          </w:p>
        </w:tc>
        <w:tc>
          <w:tcPr>
            <w:tcW w:type="dxa" w:w="1234"/>
          </w:tcPr>
          <w:p>
            <w:r>
              <w:rPr>
                <w:rFonts w:ascii="Calibri" w:hAnsi="Calibri"/>
                <w:sz w:val="22"/>
              </w:rPr>
              <w:t>$1.015B</w:t>
            </w:r>
          </w:p>
        </w:tc>
        <w:tc>
          <w:tcPr>
            <w:tcW w:type="dxa" w:w="1234"/>
          </w:tcPr>
          <w:p>
            <w:r>
              <w:rPr>
                <w:rFonts w:ascii="Calibri" w:hAnsi="Calibri"/>
                <w:sz w:val="22"/>
              </w:rPr>
              <w:t>+13.8%</w:t>
            </w:r>
          </w:p>
        </w:tc>
        <w:tc>
          <w:tcPr>
            <w:tcW w:type="dxa" w:w="1234"/>
          </w:tcPr>
          <w:p>
            <w:r>
              <w:rPr>
                <w:rFonts w:ascii="Calibri" w:hAnsi="Calibri"/>
                <w:sz w:val="22"/>
              </w:rPr>
              <w:t>~5.5% of revenue in marketing</w:t>
            </w:r>
          </w:p>
        </w:tc>
        <w:tc>
          <w:tcPr>
            <w:tcW w:type="dxa" w:w="1234"/>
          </w:tcPr>
          <w:p>
            <w:r>
              <w:rPr>
                <w:rFonts w:ascii="Calibri" w:hAnsi="Calibri"/>
                <w:sz w:val="22"/>
              </w:rPr>
              <w:t>In line</w:t>
            </w:r>
          </w:p>
        </w:tc>
      </w:tr>
      <w:tr>
        <w:tc>
          <w:tcPr>
            <w:tcW w:type="dxa" w:w="1234"/>
          </w:tcPr>
          <w:p>
            <w:r>
              <w:rPr>
                <w:rFonts w:ascii="Calibri" w:hAnsi="Calibri"/>
                <w:sz w:val="22"/>
              </w:rPr>
              <w:t>Free Cash Flow ($B)</w:t>
            </w:r>
          </w:p>
        </w:tc>
        <w:tc>
          <w:tcPr>
            <w:tcW w:type="dxa" w:w="1234"/>
          </w:tcPr>
          <w:p>
            <w:r>
              <w:rPr>
                <w:rFonts w:ascii="Calibri" w:hAnsi="Calibri"/>
                <w:sz w:val="22"/>
              </w:rPr>
              <w:t>$0.766B</w:t>
            </w:r>
          </w:p>
        </w:tc>
        <w:tc>
          <w:tcPr>
            <w:tcW w:type="dxa" w:w="1234"/>
          </w:tcPr>
          <w:p>
            <w:r>
              <w:rPr>
                <w:rFonts w:ascii="Calibri" w:hAnsi="Calibri"/>
                <w:sz w:val="22"/>
              </w:rPr>
              <w:t>$1.022B</w:t>
            </w:r>
          </w:p>
        </w:tc>
        <w:tc>
          <w:tcPr>
            <w:tcW w:type="dxa" w:w="1234"/>
          </w:tcPr>
          <w:p>
            <w:r>
              <w:rPr>
                <w:rFonts w:ascii="Calibri" w:hAnsi="Calibri"/>
                <w:sz w:val="22"/>
              </w:rPr>
              <w:t>$0.640B</w:t>
            </w:r>
          </w:p>
        </w:tc>
        <w:tc>
          <w:tcPr>
            <w:tcW w:type="dxa" w:w="1234"/>
          </w:tcPr>
          <w:p>
            <w:r>
              <w:rPr>
                <w:rFonts w:ascii="Calibri" w:hAnsi="Calibri"/>
                <w:sz w:val="22"/>
              </w:rPr>
              <w:t>-37.4%</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August 4,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$6.476B</w:t>
            </w:r>
          </w:p>
        </w:tc>
        <w:tc>
          <w:tcPr>
            <w:tcW w:type="dxa" w:w="1728"/>
          </w:tcPr>
          <w:p>
            <w:r>
              <w:rPr>
                <w:rFonts w:ascii="Calibri" w:hAnsi="Calibri"/>
                <w:sz w:val="22"/>
              </w:rPr>
              <w:t>$6.554B</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$6.383B</w:t>
            </w:r>
          </w:p>
        </w:tc>
        <w:tc>
          <w:tcPr>
            <w:tcW w:type="dxa" w:w="1728"/>
          </w:tcPr>
          <w:p>
            <w:r>
              <w:rPr>
                <w:rFonts w:ascii="Calibri" w:hAnsi="Calibri"/>
                <w:sz w:val="22"/>
              </w:rPr>
              <w:t>$6.410B</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$6.576B</w:t>
            </w:r>
          </w:p>
        </w:tc>
        <w:tc>
          <w:tcPr>
            <w:tcW w:type="dxa" w:w="1728"/>
          </w:tcPr>
          <w:p>
            <w:r>
              <w:rPr>
                <w:rFonts w:ascii="Calibri" w:hAnsi="Calibri"/>
                <w:sz w:val="22"/>
              </w:rPr>
              <w:t>$6.660B</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$5.999B</w:t>
            </w:r>
          </w:p>
        </w:tc>
        <w:tc>
          <w:tcPr>
            <w:tcW w:type="dxa" w:w="1728"/>
          </w:tcPr>
          <w:p>
            <w:r>
              <w:rPr>
                <w:rFonts w:ascii="Calibri" w:hAnsi="Calibri"/>
                <w:sz w:val="22"/>
              </w:rPr>
              <w:t>$6.018B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$6.352B</w:t>
            </w:r>
          </w:p>
        </w:tc>
        <w:tc>
          <w:tcPr>
            <w:tcW w:type="dxa" w:w="1728"/>
          </w:tcPr>
          <w:p>
            <w:r>
              <w:rPr>
                <w:rFonts w:ascii="Calibri" w:hAnsi="Calibri"/>
                <w:sz w:val="22"/>
              </w:rPr>
              <w:t>$6.274B</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$6.237B</w:t>
            </w:r>
          </w:p>
        </w:tc>
        <w:tc>
          <w:tcPr>
            <w:tcW w:type="dxa" w:w="1728"/>
          </w:tcPr>
          <w:p>
            <w:r>
              <w:rPr>
                <w:rFonts w:ascii="Calibri" w:hAnsi="Calibri"/>
                <w:sz w:val="22"/>
              </w:rPr>
              <w:t>$6.262B</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$6.354B</w:t>
            </w:r>
          </w:p>
        </w:tc>
        <w:tc>
          <w:tcPr>
            <w:tcW w:type="dxa" w:w="1728"/>
          </w:tcPr>
          <w:p>
            <w:r>
              <w:rPr>
                <w:rFonts w:ascii="Calibri" w:hAnsi="Calibri"/>
                <w:sz w:val="22"/>
              </w:rPr>
              <w:t>$6.373B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$6.047B</w:t>
            </w:r>
          </w:p>
        </w:tc>
        <w:tc>
          <w:tcPr>
            <w:tcW w:type="dxa" w:w="1728"/>
          </w:tcPr>
          <w:p>
            <w:r>
              <w:rPr>
                <w:rFonts w:ascii="Calibri" w:hAnsi="Calibri"/>
                <w:sz w:val="22"/>
              </w:rPr>
              <w:t>$5.892B</w:t>
            </w:r>
          </w:p>
        </w:tc>
        <w:tc>
          <w:tcPr>
            <w:tcW w:type="dxa" w:w="1728"/>
          </w:tcPr>
          <w:p>
            <w:r>
              <w:rPr>
                <w:rFonts w:ascii="Calibri" w:hAnsi="Calibri"/>
                <w:sz w:val="22"/>
              </w:rPr>
              <w:t>+2.6%</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$0.78</w:t>
            </w:r>
          </w:p>
        </w:tc>
        <w:tc>
          <w:tcPr>
            <w:tcW w:type="dxa" w:w="1728"/>
          </w:tcPr>
          <w:p>
            <w:r>
              <w:rPr>
                <w:rFonts w:ascii="Calibri" w:hAnsi="Calibri"/>
                <w:sz w:val="22"/>
              </w:rPr>
              <w:t>$0.731</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$0.75</w:t>
            </w:r>
          </w:p>
        </w:tc>
        <w:tc>
          <w:tcPr>
            <w:tcW w:type="dxa" w:w="1728"/>
          </w:tcPr>
          <w:p>
            <w:r>
              <w:rPr>
                <w:rFonts w:ascii="Calibri" w:hAnsi="Calibri"/>
                <w:sz w:val="22"/>
              </w:rPr>
              <w:t>$0.736</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$0.84</w:t>
            </w:r>
          </w:p>
        </w:tc>
        <w:tc>
          <w:tcPr>
            <w:tcW w:type="dxa" w:w="1728"/>
          </w:tcPr>
          <w:p>
            <w:r>
              <w:rPr>
                <w:rFonts w:ascii="Calibri" w:hAnsi="Calibri"/>
                <w:sz w:val="22"/>
              </w:rPr>
              <w:t>$0.779</w:t>
            </w:r>
          </w:p>
        </w:tc>
        <w:tc>
          <w:tcPr>
            <w:tcW w:type="dxa" w:w="1728"/>
          </w:tcPr>
          <w:p>
            <w:r>
              <w:rPr>
                <w:rFonts w:ascii="Calibri" w:hAnsi="Calibri"/>
                <w:sz w:val="22"/>
              </w:rPr>
              <w:t>+7.8%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$0.62</w:t>
            </w:r>
          </w:p>
        </w:tc>
        <w:tc>
          <w:tcPr>
            <w:tcW w:type="dxa" w:w="1728"/>
          </w:tcPr>
          <w:p>
            <w:r>
              <w:rPr>
                <w:rFonts w:ascii="Calibri" w:hAnsi="Calibri"/>
                <w:sz w:val="22"/>
              </w:rPr>
              <w:t>$0.607</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$0.69</w:t>
            </w:r>
          </w:p>
        </w:tc>
        <w:tc>
          <w:tcPr>
            <w:tcW w:type="dxa" w:w="1728"/>
          </w:tcPr>
          <w:p>
            <w:r>
              <w:rPr>
                <w:rFonts w:ascii="Calibri" w:hAnsi="Calibri"/>
                <w:sz w:val="22"/>
              </w:rPr>
              <w:t>$0.640</w:t>
            </w:r>
          </w:p>
        </w:tc>
        <w:tc>
          <w:tcPr>
            <w:tcW w:type="dxa" w:w="1728"/>
          </w:tcPr>
          <w:p>
            <w:r>
              <w:rPr>
                <w:rFonts w:ascii="Calibri" w:hAnsi="Calibri"/>
                <w:sz w:val="22"/>
              </w:rPr>
              <w:t>+7.8%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$0.61</w:t>
            </w:r>
          </w:p>
        </w:tc>
        <w:tc>
          <w:tcPr>
            <w:tcW w:type="dxa" w:w="1728"/>
          </w:tcPr>
          <w:p>
            <w:r>
              <w:rPr>
                <w:rFonts w:ascii="Calibri" w:hAnsi="Calibri"/>
                <w:sz w:val="22"/>
              </w:rPr>
              <w:t>$0.581</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$0.67</w:t>
            </w:r>
          </w:p>
        </w:tc>
        <w:tc>
          <w:tcPr>
            <w:tcW w:type="dxa" w:w="1728"/>
          </w:tcPr>
          <w:p>
            <w:r>
              <w:rPr>
                <w:rFonts w:ascii="Calibri" w:hAnsi="Calibri"/>
                <w:sz w:val="22"/>
              </w:rPr>
              <w:t>$0.608</w:t>
            </w:r>
          </w:p>
        </w:tc>
        <w:tc>
          <w:tcPr>
            <w:tcW w:type="dxa" w:w="1728"/>
          </w:tcPr>
          <w:p>
            <w:r>
              <w:rPr>
                <w:rFonts w:ascii="Calibri" w:hAnsi="Calibri"/>
                <w:sz w:val="22"/>
              </w:rPr>
              <w:t>+10.2%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$0.58</w:t>
            </w:r>
          </w:p>
        </w:tc>
        <w:tc>
          <w:tcPr>
            <w:tcW w:type="dxa" w:w="1728"/>
          </w:tcPr>
          <w:p>
            <w:r>
              <w:rPr>
                <w:rFonts w:ascii="Calibri" w:hAnsi="Calibri"/>
                <w:sz w:val="22"/>
              </w:rPr>
              <w:t>$0.500</w:t>
            </w:r>
          </w:p>
        </w:tc>
        <w:tc>
          <w:tcPr>
            <w:tcW w:type="dxa" w:w="1728"/>
          </w:tcPr>
          <w:p>
            <w:r>
              <w:rPr>
                <w:rFonts w:ascii="Calibri" w:hAnsi="Calibri"/>
                <w:sz w:val="22"/>
              </w:rPr>
              <w:t>+16.0%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 xml:space="preserve">KHC has beaten Adj. EPS consensus in </w:t>
      </w:r>
      <w:r>
        <w:rPr>
          <w:rFonts w:ascii="Calibri" w:hAnsi="Calibri"/>
          <w:b/>
          <w:color w:val="525866"/>
          <w:sz w:val="22"/>
        </w:rPr>
        <w:t>every one of the last 8 quarters</w:t>
      </w:r>
      <w:r>
        <w:rPr>
          <w:rFonts w:ascii="Calibri" w:hAnsi="Calibri"/>
          <w:color w:val="525866"/>
          <w:sz w:val="22"/>
        </w:rPr>
        <w:t>, often by a wide margin (average beat ~7.3%), while net sales has been more mixed — 6 misses and 2 beats. The Q1 2026 beat on both metrics was the largest in recent history, though management attributed a portion to non-recurring items (~40-50bps of gross margin tailwinds).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w:t>
      </w:r>
      <w:r>
        <w:rPr>
          <w:rFonts w:ascii="Calibri" w:hAnsi="Calibri"/>
          <w:b/>
          <w:color w:val="525866"/>
          <w:sz w:val="22"/>
        </w:rPr>
        <w:t>maintained unchanged</w:t>
      </w:r>
      <w:r>
        <w:rPr>
          <w:rFonts w:ascii="Calibri" w:hAnsi="Calibri"/>
          <w:color w:val="525866"/>
          <w:sz w:val="22"/>
        </w:rPr>
        <w:t xml:space="preserve"> after Q1 despite the beat, with management explicitly not embedding Q1 outperformance into the top-line outlook. The only post-earnings update was at the Deutsche Bank conference (June 3), where the CEO framed the </w:t>
      </w:r>
      <w:r>
        <w:rPr>
          <w:rFonts w:ascii="Calibri" w:hAnsi="Calibri"/>
          <w:b/>
          <w:color w:val="525866"/>
          <w:sz w:val="22"/>
        </w:rPr>
        <w:t>$600M investment as a floor rather than a ceiling</w:t>
      </w:r>
      <w:r>
        <w:rPr>
          <w:rFonts w:ascii="Calibri" w:hAnsi="Calibri"/>
          <w:color w:val="525866"/>
          <w:sz w:val="22"/>
        </w:rPr>
        <w:t xml:space="preserve"> — a modestly more confident posture, but no formal guidance revision.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Net Sales Growth (FY 2026)</w:t>
            </w:r>
          </w:p>
        </w:tc>
        <w:tc>
          <w:tcPr>
            <w:tcW w:type="dxa" w:w="1728"/>
          </w:tcPr>
          <w:p>
            <w:r>
              <w:rPr>
                <w:rFonts w:ascii="Calibri" w:hAnsi="Calibri"/>
                <w:sz w:val="22"/>
              </w:rPr>
              <w:t>-1.5% to -3.5%</w:t>
            </w:r>
          </w:p>
        </w:tc>
        <w:tc>
          <w:tcPr>
            <w:tcW w:type="dxa" w:w="1728"/>
          </w:tcPr>
          <w:p>
            <w:r>
              <w:rPr>
                <w:rFonts w:ascii="Calibri" w:hAnsi="Calibri"/>
                <w:sz w:val="22"/>
              </w:rPr>
              <w:t>—</w:t>
            </w:r>
          </w:p>
        </w:tc>
        <w:tc>
          <w:tcPr>
            <w:tcW w:type="dxa" w:w="1728"/>
          </w:tcPr>
          <w:p>
            <w:r>
              <w:rPr>
                <w:rFonts w:ascii="Calibri" w:hAnsi="Calibri"/>
                <w:sz w:val="22"/>
              </w:rPr>
              <w:t>-1.95%</w:t>
            </w:r>
          </w:p>
        </w:tc>
        <w:tc>
          <w:tcPr>
            <w:tcW w:type="dxa" w:w="1728"/>
          </w:tcPr>
          <w:p>
            <w:r>
              <w:rPr>
                <w:rFonts w:ascii="Calibri" w:hAnsi="Calibri"/>
                <w:sz w:val="22"/>
              </w:rPr>
              <w:t>Maintained; ~100bps SNAP headwind embedded; Q1 beat not extrapolated</w:t>
            </w:r>
          </w:p>
        </w:tc>
      </w:tr>
      <w:tr>
        <w:tc>
          <w:tcPr>
            <w:tcW w:type="dxa" w:w="1728"/>
          </w:tcPr>
          <w:p>
            <w:r>
              <w:rPr>
                <w:rFonts w:ascii="Calibri" w:hAnsi="Calibri"/>
                <w:sz w:val="22"/>
              </w:rPr>
              <w:t>Adj. Gross Profit Margin (FY 2026)</w:t>
            </w:r>
          </w:p>
        </w:tc>
        <w:tc>
          <w:tcPr>
            <w:tcW w:type="dxa" w:w="1728"/>
          </w:tcPr>
          <w:p>
            <w:r>
              <w:rPr>
                <w:rFonts w:ascii="Calibri" w:hAnsi="Calibri"/>
                <w:sz w:val="22"/>
              </w:rPr>
              <w:t>-25bps to -75bps vs. prior year</w:t>
            </w:r>
          </w:p>
        </w:tc>
        <w:tc>
          <w:tcPr>
            <w:tcW w:type="dxa" w:w="1728"/>
          </w:tcPr>
          <w:p>
            <w:r>
              <w:rPr>
                <w:rFonts w:ascii="Calibri" w:hAnsi="Calibri"/>
                <w:sz w:val="22"/>
              </w:rPr>
              <w:t>—</w:t>
            </w:r>
          </w:p>
        </w:tc>
        <w:tc>
          <w:tcPr>
            <w:tcW w:type="dxa" w:w="1728"/>
          </w:tcPr>
          <w:p>
            <w:r>
              <w:rPr>
                <w:rFonts w:ascii="Calibri" w:hAnsi="Calibri"/>
                <w:sz w:val="22"/>
              </w:rPr>
              <w:t>In line with guidance</w:t>
            </w:r>
          </w:p>
        </w:tc>
        <w:tc>
          <w:tcPr>
            <w:tcW w:type="dxa" w:w="1728"/>
          </w:tcPr>
          <w:p>
            <w:r>
              <w:rPr>
                <w:rFonts w:ascii="Calibri" w:hAnsi="Calibri"/>
                <w:sz w:val="22"/>
              </w:rPr>
              <w:t>Q1 had ~40-50bps non-recurring tailwinds; full-year range maintained</w:t>
            </w:r>
          </w:p>
        </w:tc>
      </w:tr>
      <w:tr>
        <w:tc>
          <w:tcPr>
            <w:tcW w:type="dxa" w:w="1728"/>
          </w:tcPr>
          <w:p>
            <w:r>
              <w:rPr>
                <w:rFonts w:ascii="Calibri" w:hAnsi="Calibri"/>
                <w:sz w:val="22"/>
              </w:rPr>
              <w:t>Adj. EPS (FY 2026)</w:t>
            </w:r>
          </w:p>
        </w:tc>
        <w:tc>
          <w:tcPr>
            <w:tcW w:type="dxa" w:w="1728"/>
          </w:tcPr>
          <w:p>
            <w:r>
              <w:rPr>
                <w:rFonts w:ascii="Calibri" w:hAnsi="Calibri"/>
                <w:sz w:val="22"/>
              </w:rPr>
              <w:t>$1.98 to $2.10</w:t>
            </w:r>
          </w:p>
        </w:tc>
        <w:tc>
          <w:tcPr>
            <w:tcW w:type="dxa" w:w="1728"/>
          </w:tcPr>
          <w:p>
            <w:r>
              <w:rPr>
                <w:rFonts w:ascii="Calibri" w:hAnsi="Calibri"/>
                <w:sz w:val="22"/>
              </w:rPr>
              <w:t>—</w:t>
            </w:r>
          </w:p>
        </w:tc>
        <w:tc>
          <w:tcPr>
            <w:tcW w:type="dxa" w:w="1728"/>
          </w:tcPr>
          <w:p>
            <w:r>
              <w:rPr>
                <w:rFonts w:ascii="Calibri" w:hAnsi="Calibri"/>
                <w:sz w:val="22"/>
              </w:rPr>
              <w:t>$2.07</w:t>
            </w:r>
          </w:p>
        </w:tc>
        <w:tc>
          <w:tcPr>
            <w:tcW w:type="dxa" w:w="1728"/>
          </w:tcPr>
          <w:p>
            <w:r>
              <w:rPr>
                <w:rFonts w:ascii="Calibri" w:hAnsi="Calibri"/>
                <w:sz w:val="22"/>
              </w:rPr>
              <w:t>Maintained; effective tax rate ~25%, interest expense ~$920M</w:t>
            </w:r>
          </w:p>
        </w:tc>
      </w:tr>
      <w:tr>
        <w:tc>
          <w:tcPr>
            <w:tcW w:type="dxa" w:w="1728"/>
          </w:tcPr>
          <w:p>
            <w:r>
              <w:rPr>
                <w:rFonts w:ascii="Calibri" w:hAnsi="Calibri"/>
                <w:sz w:val="22"/>
              </w:rPr>
              <w:t>Constant Currency Adj. OI (FY 2026)</w:t>
            </w:r>
          </w:p>
        </w:tc>
        <w:tc>
          <w:tcPr>
            <w:tcW w:type="dxa" w:w="1728"/>
          </w:tcPr>
          <w:p>
            <w:r>
              <w:rPr>
                <w:rFonts w:ascii="Calibri" w:hAnsi="Calibri"/>
                <w:sz w:val="22"/>
              </w:rPr>
              <w:t>-14% to -18% vs. prior 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Includes $600M investment and ~300bps headwind from lapping lower variable comp</w:t>
            </w:r>
          </w:p>
        </w:tc>
      </w:tr>
      <w:tr>
        <w:tc>
          <w:tcPr>
            <w:tcW w:type="dxa" w:w="1728"/>
          </w:tcPr>
          <w:p>
            <w:r>
              <w:rPr>
                <w:rFonts w:ascii="Calibri" w:hAnsi="Calibri"/>
                <w:sz w:val="22"/>
              </w:rPr>
              <w:t>$600M Investment Plan</w:t>
            </w:r>
          </w:p>
        </w:tc>
        <w:tc>
          <w:tcPr>
            <w:tcW w:type="dxa" w:w="1728"/>
          </w:tcPr>
          <w:p>
            <w:r>
              <w:rPr>
                <w:rFonts w:ascii="Calibri" w:hAnsi="Calibri"/>
                <w:sz w:val="22"/>
              </w:rPr>
              <w:t>Base commitment; bulk back-half weighted</w:t>
            </w:r>
          </w:p>
        </w:tc>
        <w:tc>
          <w:tcPr>
            <w:tcW w:type="dxa" w:w="1728"/>
          </w:tcPr>
          <w:p>
            <w:r>
              <w:rPr>
                <w:rFonts w:ascii="Calibri" w:hAnsi="Calibri"/>
                <w:sz w:val="22"/>
              </w:rPr>
              <w:t>Framed as floor at DB Conference (June 3)</w:t>
            </w:r>
          </w:p>
        </w:tc>
        <w:tc>
          <w:tcPr>
            <w:tcW w:type="dxa" w:w="1728"/>
          </w:tcPr>
          <w:p>
            <w:r>
              <w:rPr>
                <w:rFonts w:ascii="Calibri" w:hAnsi="Calibri"/>
                <w:sz w:val="22"/>
              </w:rPr>
              <w:t>—</w:t>
            </w:r>
          </w:p>
        </w:tc>
        <w:tc>
          <w:tcPr>
            <w:tcW w:type="dxa" w:w="1728"/>
          </w:tcPr>
          <w:p>
            <w:r>
              <w:rPr>
                <w:rFonts w:ascii="Calibri" w:hAnsi="Calibri"/>
                <w:sz w:val="22"/>
              </w:rPr>
              <w:t>↑ CEO stated company may go above $600M if returns justify while still meeting profit guidance; more confident posture</w:t>
            </w:r>
          </w:p>
        </w:tc>
      </w:tr>
      <w:tr>
        <w:tc>
          <w:tcPr>
            <w:tcW w:type="dxa" w:w="1728"/>
          </w:tcPr>
          <w:p>
            <w:r>
              <w:rPr>
                <w:rFonts w:ascii="Calibri" w:hAnsi="Calibri"/>
                <w:sz w:val="22"/>
              </w:rPr>
              <w:t>Q2 2026 Organic Growth (Q2-specific)</w:t>
            </w:r>
          </w:p>
        </w:tc>
        <w:tc>
          <w:tcPr>
            <w:tcW w:type="dxa" w:w="1728"/>
          </w:tcPr>
          <w:p>
            <w:r>
              <w:rPr>
                <w:rFonts w:ascii="Calibri" w:hAnsi="Calibri"/>
                <w:sz w:val="22"/>
              </w:rPr>
              <w:t>-3% to -5%</w:t>
            </w:r>
          </w:p>
        </w:tc>
        <w:tc>
          <w:tcPr>
            <w:tcW w:type="dxa" w:w="1728"/>
          </w:tcPr>
          <w:p>
            <w:r>
              <w:rPr>
                <w:rFonts w:ascii="Calibri" w:hAnsi="Calibri"/>
                <w:sz w:val="22"/>
              </w:rPr>
              <w:t>—</w:t>
            </w:r>
          </w:p>
        </w:tc>
        <w:tc>
          <w:tcPr>
            <w:tcW w:type="dxa" w:w="1728"/>
          </w:tcPr>
          <w:p>
            <w:r>
              <w:rPr>
                <w:rFonts w:ascii="Calibri" w:hAnsi="Calibri"/>
                <w:sz w:val="22"/>
              </w:rPr>
              <w:t>-3.6%</w:t>
            </w:r>
          </w:p>
        </w:tc>
        <w:tc>
          <w:tcPr>
            <w:tcW w:type="dxa" w:w="1728"/>
          </w:tcPr>
          <w:p>
            <w:r>
              <w:rPr>
                <w:rFonts w:ascii="Calibri" w:hAnsi="Calibri"/>
                <w:sz w:val="22"/>
              </w:rPr>
              <w:t>Easter timing shift + full SNAP headwind onset; partially offset by Away From Home and EM strength</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higher</w:t>
      </w:r>
      <w:r>
        <w:rPr>
          <w:rFonts w:ascii="Calibri" w:hAnsi="Calibri"/>
          <w:color w:val="525866"/>
          <w:sz w:val="22"/>
        </w:rPr>
        <w:t xml:space="preserve"> since the Q1 print but remain tightly anchored to guidance midpoints — the market is giving slight credit to Q1 momentum while respecting management’s conservative Q2 guide. The lack of meaningful upward revision despite the Q1 beat reflects management’s explicit messaging that Q1 included non-recurring tailwinds and that the </w:t>
      </w:r>
      <w:r>
        <w:rPr>
          <w:rFonts w:ascii="Calibri" w:hAnsi="Calibri"/>
          <w:b/>
          <w:color w:val="525866"/>
          <w:sz w:val="22"/>
        </w:rPr>
        <w:t>$600M investment ramp is back-half weighted</w:t>
      </w:r>
      <w:r>
        <w:rPr>
          <w:rFonts w:ascii="Calibri" w:hAnsi="Calibri"/>
          <w:color w:val="525866"/>
          <w:sz w:val="22"/>
        </w:rPr>
        <w: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13 (5 days post Q1)</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Net Sales — Q2 2026</w:t>
            </w:r>
          </w:p>
        </w:tc>
        <w:tc>
          <w:tcPr>
            <w:tcW w:type="dxa" w:w="1080"/>
          </w:tcPr>
          <w:p>
            <w:r>
              <w:rPr>
                <w:rFonts w:ascii="Calibri" w:hAnsi="Calibri"/>
                <w:sz w:val="22"/>
              </w:rPr>
              <w:t>~$6.091B</w:t>
            </w:r>
          </w:p>
        </w:tc>
        <w:tc>
          <w:tcPr>
            <w:tcW w:type="dxa" w:w="1080"/>
          </w:tcPr>
          <w:p>
            <w:r>
              <w:rPr>
                <w:rFonts w:ascii="Calibri" w:hAnsi="Calibri"/>
                <w:sz w:val="22"/>
              </w:rPr>
              <w:t>$6.120B</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~$24.453B</w:t>
            </w:r>
          </w:p>
        </w:tc>
        <w:tc>
          <w:tcPr>
            <w:tcW w:type="dxa" w:w="1080"/>
          </w:tcPr>
          <w:p>
            <w:r>
              <w:rPr>
                <w:rFonts w:ascii="Calibri" w:hAnsi="Calibri"/>
                <w:sz w:val="22"/>
              </w:rPr>
              <w:t>$24.491B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~$0.523</w:t>
            </w:r>
          </w:p>
        </w:tc>
        <w:tc>
          <w:tcPr>
            <w:tcW w:type="dxa" w:w="1080"/>
          </w:tcPr>
          <w:p>
            <w:r>
              <w:rPr>
                <w:rFonts w:ascii="Calibri" w:hAnsi="Calibri"/>
                <w:sz w:val="22"/>
              </w:rPr>
              <w:t>$0.528</w:t>
            </w:r>
          </w:p>
        </w:tc>
        <w:tc>
          <w:tcPr>
            <w:tcW w:type="dxa" w:w="1080"/>
          </w:tcPr>
          <w:p>
            <w:r>
              <w:rPr>
                <w:rFonts w:ascii="Calibri" w:hAnsi="Calibri"/>
                <w:sz w:val="22"/>
              </w:rPr>
              <w:t>+1.0%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~$2.064</w:t>
            </w:r>
          </w:p>
        </w:tc>
        <w:tc>
          <w:tcPr>
            <w:tcW w:type="dxa" w:w="1080"/>
          </w:tcPr>
          <w:p>
            <w:r>
              <w:rPr>
                <w:rFonts w:ascii="Calibri" w:hAnsi="Calibri"/>
                <w:sz w:val="22"/>
              </w:rPr>
              <w:t>$2.070</w:t>
            </w:r>
          </w:p>
        </w:tc>
        <w:tc>
          <w:tcPr>
            <w:tcW w:type="dxa" w:w="1080"/>
          </w:tcPr>
          <w:p>
            <w:r>
              <w:rPr>
                <w:rFonts w:ascii="Calibri" w:hAnsi="Calibri"/>
                <w:sz w:val="22"/>
              </w:rPr>
              <w:t>+0.3%</w:t>
            </w:r>
          </w:p>
        </w:tc>
        <w:tc>
          <w:tcPr>
            <w:tcW w:type="dxa" w:w="1080"/>
          </w:tcPr>
          <w:p>
            <w:r>
              <w:rPr>
                <w:rFonts w:ascii="Calibri" w:hAnsi="Calibri"/>
                <w:sz w:val="22"/>
              </w:rPr>
              <w:t>$1.98–$2.10</w:t>
            </w:r>
          </w:p>
        </w:tc>
        <w:tc>
          <w:tcPr>
            <w:tcW w:type="dxa" w:w="1080"/>
          </w:tcPr>
          <w:p>
            <w:r>
              <w:rPr>
                <w:rFonts w:ascii="Calibri" w:hAnsi="Calibri"/>
                <w:sz w:val="22"/>
              </w:rPr>
              <w:t>$1.98–$2.10 (unchanged)</w:t>
            </w:r>
          </w:p>
        </w:tc>
        <w:tc>
          <w:tcPr>
            <w:tcW w:type="dxa" w:w="1080"/>
          </w:tcPr>
          <w:p>
            <w:r>
              <w:rPr>
                <w:rFonts w:ascii="Calibri" w:hAnsi="Calibri"/>
                <w:sz w:val="22"/>
              </w:rPr>
              <w:t>0%</w:t>
            </w:r>
          </w:p>
        </w:tc>
        <w:tc>
          <w:tcPr>
            <w:tcW w:type="dxa" w:w="1080"/>
          </w:tcPr>
          <w:p>
            <w:r>
              <w:rPr>
                <w:rFonts w:ascii="Calibri" w:hAnsi="Calibri"/>
                <w:sz w:val="22"/>
              </w:rPr>
              <w:t>At midpoint</w:t>
            </w:r>
          </w:p>
        </w:tc>
      </w:tr>
      <w:tr>
        <w:tc>
          <w:tcPr>
            <w:tcW w:type="dxa" w:w="1080"/>
          </w:tcPr>
          <w:p>
            <w:r>
              <w:rPr>
                <w:rFonts w:ascii="Calibri" w:hAnsi="Calibri"/>
                <w:sz w:val="22"/>
              </w:rPr>
              <w:t>Organic Growth — Q2 2026</w:t>
            </w:r>
          </w:p>
        </w:tc>
        <w:tc>
          <w:tcPr>
            <w:tcW w:type="dxa" w:w="1080"/>
          </w:tcPr>
          <w:p>
            <w:r>
              <w:rPr>
                <w:rFonts w:ascii="Calibri" w:hAnsi="Calibri"/>
                <w:sz w:val="22"/>
              </w:rPr>
              <w:t>~-4.1%</w:t>
            </w:r>
          </w:p>
        </w:tc>
        <w:tc>
          <w:tcPr>
            <w:tcW w:type="dxa" w:w="1080"/>
          </w:tcPr>
          <w:p>
            <w:r>
              <w:rPr>
                <w:rFonts w:ascii="Calibri" w:hAnsi="Calibri"/>
                <w:sz w:val="22"/>
              </w:rPr>
              <w:t>-3.6%</w:t>
            </w:r>
          </w:p>
        </w:tc>
        <w:tc>
          <w:tcPr>
            <w:tcW w:type="dxa" w:w="1080"/>
          </w:tcPr>
          <w:p>
            <w:r>
              <w:rPr>
                <w:rFonts w:ascii="Calibri" w:hAnsi="Calibri"/>
                <w:sz w:val="22"/>
              </w:rPr>
              <w:t>+50bps</w:t>
            </w:r>
          </w:p>
        </w:tc>
        <w:tc>
          <w:tcPr>
            <w:tcW w:type="dxa" w:w="1080"/>
          </w:tcPr>
          <w:p>
            <w:r>
              <w:rPr>
                <w:rFonts w:ascii="Calibri" w:hAnsi="Calibri"/>
                <w:sz w:val="22"/>
              </w:rPr>
              <w:t>-3% to -5%</w:t>
            </w:r>
          </w:p>
        </w:tc>
        <w:tc>
          <w:tcPr>
            <w:tcW w:type="dxa" w:w="1080"/>
          </w:tcPr>
          <w:p>
            <w:r>
              <w:rPr>
                <w:rFonts w:ascii="Calibri" w:hAnsi="Calibri"/>
                <w:sz w:val="22"/>
              </w:rPr>
              <w:t>-3% to -5% (unchanged)</w:t>
            </w:r>
          </w:p>
        </w:tc>
        <w:tc>
          <w:tcPr>
            <w:tcW w:type="dxa" w:w="1080"/>
          </w:tcPr>
          <w:p>
            <w:r>
              <w:rPr>
                <w:rFonts w:ascii="Calibri" w:hAnsi="Calibri"/>
                <w:sz w:val="22"/>
              </w:rPr>
              <w:t>0%</w:t>
            </w:r>
          </w:p>
        </w:tc>
        <w:tc>
          <w:tcPr>
            <w:tcW w:type="dxa" w:w="1080"/>
          </w:tcPr>
          <w:p>
            <w:r>
              <w:rPr>
                <w:rFonts w:ascii="Calibri" w:hAnsi="Calibri"/>
                <w:sz w:val="22"/>
              </w:rPr>
              <w:t>At midpoint</w:t>
            </w:r>
          </w:p>
        </w:tc>
      </w:tr>
      <w:tr>
        <w:tc>
          <w:tcPr>
            <w:tcW w:type="dxa" w:w="1080"/>
          </w:tcPr>
          <w:p>
            <w:r>
              <w:rPr>
                <w:rFonts w:ascii="Calibri" w:hAnsi="Calibri"/>
                <w:sz w:val="22"/>
              </w:rPr>
              <w:t>Organic Growth — FY 2026</w:t>
            </w:r>
          </w:p>
        </w:tc>
        <w:tc>
          <w:tcPr>
            <w:tcW w:type="dxa" w:w="1080"/>
          </w:tcPr>
          <w:p>
            <w:r>
              <w:rPr>
                <w:rFonts w:ascii="Calibri" w:hAnsi="Calibri"/>
                <w:sz w:val="22"/>
              </w:rPr>
              <w:t>~-2.1%</w:t>
            </w:r>
          </w:p>
        </w:tc>
        <w:tc>
          <w:tcPr>
            <w:tcW w:type="dxa" w:w="1080"/>
          </w:tcPr>
          <w:p>
            <w:r>
              <w:rPr>
                <w:rFonts w:ascii="Calibri" w:hAnsi="Calibri"/>
                <w:sz w:val="22"/>
              </w:rPr>
              <w:t>-1.95%</w:t>
            </w:r>
          </w:p>
        </w:tc>
        <w:tc>
          <w:tcPr>
            <w:tcW w:type="dxa" w:w="1080"/>
          </w:tcPr>
          <w:p>
            <w:r>
              <w:rPr>
                <w:rFonts w:ascii="Calibri" w:hAnsi="Calibri"/>
                <w:sz w:val="22"/>
              </w:rPr>
              <w:t>+15bps</w:t>
            </w:r>
          </w:p>
        </w:tc>
        <w:tc>
          <w:tcPr>
            <w:tcW w:type="dxa" w:w="1080"/>
          </w:tcPr>
          <w:p>
            <w:r>
              <w:rPr>
                <w:rFonts w:ascii="Calibri" w:hAnsi="Calibri"/>
                <w:sz w:val="22"/>
              </w:rPr>
              <w:t>-1.5% to -3.5%</w:t>
            </w:r>
          </w:p>
        </w:tc>
        <w:tc>
          <w:tcPr>
            <w:tcW w:type="dxa" w:w="1080"/>
          </w:tcPr>
          <w:p>
            <w:r>
              <w:rPr>
                <w:rFonts w:ascii="Calibri" w:hAnsi="Calibri"/>
                <w:sz w:val="22"/>
              </w:rPr>
              <w:t>-1.5% to -3.5% (unchanged)</w:t>
            </w:r>
          </w:p>
        </w:tc>
        <w:tc>
          <w:tcPr>
            <w:tcW w:type="dxa" w:w="1080"/>
          </w:tcPr>
          <w:p>
            <w:r>
              <w:rPr>
                <w:rFonts w:ascii="Calibri" w:hAnsi="Calibri"/>
                <w:sz w:val="22"/>
              </w:rPr>
              <w:t>0%</w:t>
            </w:r>
          </w:p>
        </w:tc>
        <w:tc>
          <w:tcPr>
            <w:tcW w:type="dxa" w:w="1080"/>
          </w:tcPr>
          <w:p>
            <w:r>
              <w:rPr>
                <w:rFonts w:ascii="Calibri" w:hAnsi="Calibri"/>
                <w:sz w:val="22"/>
              </w:rPr>
              <w:t>At midpoint</w:t>
            </w:r>
          </w:p>
        </w:tc>
      </w:tr>
      <w:tr>
        <w:tc>
          <w:tcPr>
            <w:tcW w:type="dxa" w:w="1080"/>
          </w:tcPr>
          <w:p>
            <w:r>
              <w:rPr>
                <w:rFonts w:ascii="Calibri" w:hAnsi="Calibri"/>
                <w:sz w:val="22"/>
              </w:rPr>
              <w:t>Adj. EBITDA — Q2 2026</w:t>
            </w:r>
          </w:p>
        </w:tc>
        <w:tc>
          <w:tcPr>
            <w:tcW w:type="dxa" w:w="1080"/>
          </w:tcPr>
          <w:p>
            <w:r>
              <w:rPr>
                <w:rFonts w:ascii="Calibri" w:hAnsi="Calibri"/>
                <w:sz w:val="22"/>
              </w:rPr>
              <w:t>~$1.278B</w:t>
            </w:r>
          </w:p>
        </w:tc>
        <w:tc>
          <w:tcPr>
            <w:tcW w:type="dxa" w:w="1080"/>
          </w:tcPr>
          <w:p>
            <w:r>
              <w:rPr>
                <w:rFonts w:ascii="Calibri" w:hAnsi="Calibri"/>
                <w:sz w:val="22"/>
              </w:rPr>
              <w:t>$1.290B</w:t>
            </w:r>
          </w:p>
        </w:tc>
        <w:tc>
          <w:tcPr>
            <w:tcW w:type="dxa" w:w="1080"/>
          </w:tcPr>
          <w:p>
            <w:r>
              <w:rPr>
                <w:rFonts w:ascii="Calibri" w:hAnsi="Calibri"/>
                <w:sz w:val="22"/>
              </w:rPr>
              <w:t>+0.9%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~$5.005B</w:t>
            </w:r>
          </w:p>
        </w:tc>
        <w:tc>
          <w:tcPr>
            <w:tcW w:type="dxa" w:w="1080"/>
          </w:tcPr>
          <w:p>
            <w:r>
              <w:rPr>
                <w:rFonts w:ascii="Calibri" w:hAnsi="Calibri"/>
                <w:sz w:val="22"/>
              </w:rPr>
              <w:t>$5.024B</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estimates as of approximately May 13, 2026 (5 trading days post Q1 earnings). Current consensus as of August 4, 2026.</w:t>
      </w:r>
    </w:p>
    <w:p>
      <w:r>
        <w:rPr>
          <w:rFonts w:ascii="Calibri" w:hAnsi="Calibri"/>
          <w:b/>
          <w:color w:val="525866"/>
          <w:sz w:val="22"/>
        </w:rPr>
        <w:t xml:space="preserve">Commentary: </w:t>
      </w:r>
      <w:r>
        <w:rPr>
          <w:rFonts w:ascii="Calibri" w:hAnsi="Calibri"/>
          <w:color w:val="525866"/>
          <w:sz w:val="22"/>
        </w:rPr>
        <w:t>Estimates have drifted modestly higher since the Q1 print but remain tightly anchored to guidance midpoints. The lack of meaningful upward revision despite the Q1 beat reflects management’s explicit messaging that Q1 included non-recurring tailwinds and that the $600M investment ramp is back-half weighted — the market is appropriately skeptical of extrapolating Q1 momentum into Q2.</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KHC has </w:t>
      </w:r>
      <w:r>
        <w:rPr>
          <w:rFonts w:ascii="Calibri" w:hAnsi="Calibri"/>
          <w:b/>
          <w:color w:val="525866"/>
          <w:sz w:val="22"/>
        </w:rPr>
        <w:t>significantly outperformed</w:t>
      </w:r>
      <w:r>
        <w:rPr>
          <w:rFonts w:ascii="Calibri" w:hAnsi="Calibri"/>
          <w:color w:val="525866"/>
          <w:sz w:val="22"/>
        </w:rPr>
        <w:t xml:space="preserve"> both the consumer staples sector (XLP) and the broader market (SPY) since the Q1 print — up </w:t>
      </w:r>
      <w:r>
        <w:rPr>
          <w:rFonts w:ascii="Calibri" w:hAnsi="Calibri"/>
          <w:b/>
          <w:color w:val="525866"/>
          <w:sz w:val="22"/>
        </w:rPr>
        <w:t>+15.5% vs. XLP +1.3% and SPY +5.1%</w:t>
      </w:r>
      <w:r>
        <w:rPr>
          <w:rFonts w:ascii="Calibri" w:hAnsi="Calibri"/>
          <w:color w:val="525866"/>
          <w:sz w:val="22"/>
        </w:rPr>
        <w:t xml:space="preserve"> — driven primarily by </w:t>
      </w:r>
      <w:r>
        <w:rPr>
          <w:rFonts w:ascii="Calibri" w:hAnsi="Calibri"/>
          <w:b/>
          <w:color w:val="525866"/>
          <w:sz w:val="22"/>
        </w:rPr>
        <w:t>multiple re-rating</w:t>
      </w:r>
      <w:r>
        <w:rPr>
          <w:rFonts w:ascii="Calibri" w:hAnsi="Calibri"/>
          <w:color w:val="525866"/>
          <w:sz w:val="22"/>
        </w:rPr>
        <w:t xml:space="preserve"> as the turnaround narrative gained credibility, not by estimate revisions (which were essentially flat). The stock’s strong run raises the bar for what constitutes a positive surprise at Q2.</w:t>
      </w:r>
    </w:p>
    <w:p>
      <w:r>
        <w:rPr>
          <w:rFonts w:ascii="Calibri" w:hAnsi="Calibri"/>
          <w:i/>
          <w:color w:val="525866"/>
          <w:sz w:val="22"/>
        </w:rPr>
        <w:t>Sector ETF: XLP (Consumer Staples Select Sector SPDR Fund) — appropriate for KHC’s packaged food / consumer staples sub-sector. Chart indexed to 100 at May 6, 2026 (Q1 2026 earnings date). Source: Yahoo Finance.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KHC vs. XLP vs. S&amp;P 500 — Indexed Performance Since Q1 2026 Earnings (May 6, 2026). KHC +15.5%, SPY +5.1%, XLP +1.3% through August 4, 2026.</w:t>
      </w:r>
    </w:p>
    <w:p>
      <w:r>
        <w:rPr>
          <w:rFonts w:ascii="Calibri" w:hAnsi="Calibri"/>
          <w:b/>
          <w:color w:val="525866"/>
          <w:sz w:val="22"/>
        </w:rPr>
        <w:t>Key events marked on chart:</w:t>
      </w:r>
    </w:p>
    <w:p>
      <w:pPr>
        <w:pStyle w:val="ListBullet"/>
        <w:ind w:left="360" w:hanging="360"/>
      </w:pPr>
      <w:r>
        <w:rPr>
          <w:rFonts w:ascii="Calibri" w:hAnsi="Calibri"/>
          <w:b/>
          <w:color w:val="525866"/>
          <w:sz w:val="22"/>
        </w:rPr>
        <w:t>May 12, 2026:</w:t>
      </w:r>
      <w:r>
        <w:rPr>
          <w:rFonts w:ascii="Calibri" w:hAnsi="Calibri"/>
          <w:color w:val="525866"/>
          <w:sz w:val="22"/>
        </w:rPr>
        <w:t xml:space="preserve"> CEO open-market purchase of 213,106 shares (~$4.9M) + EUR €1B senior notes offering launched (Eurobond oversubscribed; ~$300M interest savings over 10 years).</w:t>
      </w:r>
    </w:p>
    <w:p>
      <w:pPr>
        <w:pStyle w:val="ListBullet"/>
        <w:ind w:left="360" w:hanging="360"/>
      </w:pPr>
      <w:r>
        <w:rPr>
          <w:rFonts w:ascii="Calibri" w:hAnsi="Calibri"/>
          <w:b/>
          <w:color w:val="525866"/>
          <w:sz w:val="22"/>
        </w:rPr>
        <w:t>June 3, 2026:</w:t>
      </w:r>
      <w:r>
        <w:rPr>
          <w:rFonts w:ascii="Calibri" w:hAnsi="Calibri"/>
          <w:color w:val="525866"/>
          <w:sz w:val="22"/>
        </w:rPr>
        <w:t xml:space="preserve"> Deutsche Bank Global Consumer Conference — CEO Cahillane reaffirmed turnaround thesis, framed $600M as a floor, disclosed Taste Elevation share near 70% over last 13 weeks.</w:t>
      </w:r>
    </w:p>
    <w:p>
      <w:pPr>
        <w:pStyle w:val="ListBullet"/>
        <w:ind w:left="360" w:hanging="360"/>
      </w:pPr>
      <w:r>
        <w:rPr>
          <w:rFonts w:ascii="Calibri" w:hAnsi="Calibri"/>
          <w:b/>
          <w:color w:val="525866"/>
          <w:sz w:val="22"/>
        </w:rPr>
        <w:t>June 18, 2026:</w:t>
      </w:r>
      <w:r>
        <w:rPr>
          <w:rFonts w:ascii="Calibri" w:hAnsi="Calibri"/>
          <w:color w:val="525866"/>
          <w:sz w:val="22"/>
        </w:rPr>
        <w:t xml:space="preserve"> Departure of Chief Omnichannel Sales Officer (Cory Onell) announced — stock dipped modestly on execution risk concerns.</w:t>
      </w:r>
    </w:p>
    <w:p>
      <w:r>
        <w:rPr>
          <w:rFonts w:ascii="Calibri" w:hAnsi="Calibri"/>
          <w:b/>
          <w:color w:val="525866"/>
          <w:sz w:val="22"/>
        </w:rPr>
        <w:t xml:space="preserve">Performance commentary: </w:t>
      </w:r>
      <w:r>
        <w:rPr>
          <w:rFonts w:ascii="Calibri" w:hAnsi="Calibri"/>
          <w:color w:val="525866"/>
          <w:sz w:val="22"/>
        </w:rPr>
        <w:t>The stock’s outperformance is almost entirely sentiment/multiple-driven — full-year EPS estimates moved only ~+0.3% since the Q1 print, while the stock gained +15.5%. At ~$26.64 (August 4), KHC trades at approximately 12.9x the FY 2026 consensus EPS of $2.07, still well below its historical 3-year average of ~17x forward P/E but meaningfully above the ~9-10x trough multiple seen in late 2025. The re-rating reflects growing market confidence in the turnaround narrative, but also means the stock needs continued execution evidence — not just a low-bar beat — to sustain momentum.</w:t>
      </w:r>
    </w:p>
    <w:p>
      <w:r>
        <w:br w:type="page"/>
      </w:r>
    </w:p>
    <w:p>
      <w:pPr>
        <w:pStyle w:val="Heading1"/>
        <w:pBdr>
          <w:bottom w:val="single" w:sz="4" w:space="1" w:color="FB9120"/>
        </w:pBdr>
      </w:pPr>
      <w:r>
        <w:rPr>
          <w:rFonts w:ascii="Calibri" w:hAnsi="Calibri"/>
          <w:b/>
          <w:color w:val="3B4259"/>
          <w:sz w:val="40"/>
        </w:rPr>
        <w:t>6.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paints a </w:t>
      </w:r>
      <w:r>
        <w:rPr>
          <w:rFonts w:ascii="Calibri" w:hAnsi="Calibri"/>
          <w:b/>
          <w:color w:val="525866"/>
          <w:sz w:val="22"/>
        </w:rPr>
        <w:t>mixed but directionally relevant</w:t>
      </w:r>
      <w:r>
        <w:rPr>
          <w:rFonts w:ascii="Calibri" w:hAnsi="Calibri"/>
          <w:color w:val="525866"/>
          <w:sz w:val="22"/>
        </w:rPr>
        <w:t xml:space="preserve"> picture for KHC’s Q2: consumer pressure and value-seeking behavior persist across the board, but </w:t>
      </w:r>
      <w:r>
        <w:rPr>
          <w:rFonts w:ascii="Calibri" w:hAnsi="Calibri"/>
          <w:b/>
          <w:color w:val="525866"/>
          <w:sz w:val="22"/>
        </w:rPr>
        <w:t>snacking categories (MDLZ) are outperforming center-of-store</w:t>
      </w:r>
      <w:r>
        <w:rPr>
          <w:rFonts w:ascii="Calibri" w:hAnsi="Calibri"/>
          <w:color w:val="525866"/>
          <w:sz w:val="22"/>
        </w:rPr>
        <w:t xml:space="preserve">, and the promotional environment remains mostly rational. The most relevant read-throughs are from </w:t>
      </w:r>
      <w:r>
        <w:rPr>
          <w:rFonts w:ascii="Calibri" w:hAnsi="Calibri"/>
          <w:b/>
          <w:color w:val="525866"/>
          <w:sz w:val="22"/>
        </w:rPr>
        <w:t>MKC</w:t>
      </w:r>
      <w:r>
        <w:rPr>
          <w:rFonts w:ascii="Calibri" w:hAnsi="Calibri"/>
          <w:color w:val="525866"/>
          <w:sz w:val="22"/>
        </w:rPr>
        <w:t xml:space="preserve"> (condiments/sauces/flavor), </w:t>
      </w:r>
      <w:r>
        <w:rPr>
          <w:rFonts w:ascii="Calibri" w:hAnsi="Calibri"/>
          <w:b/>
          <w:color w:val="525866"/>
          <w:sz w:val="22"/>
        </w:rPr>
        <w:t>GIS</w:t>
      </w:r>
      <w:r>
        <w:rPr>
          <w:rFonts w:ascii="Calibri" w:hAnsi="Calibri"/>
          <w:color w:val="525866"/>
          <w:sz w:val="22"/>
        </w:rPr>
        <w:t xml:space="preserve"> (center-of-store, food at home), and </w:t>
      </w:r>
      <w:r>
        <w:rPr>
          <w:rFonts w:ascii="Calibri" w:hAnsi="Calibri"/>
          <w:b/>
          <w:color w:val="525866"/>
          <w:sz w:val="22"/>
        </w:rPr>
        <w:t>MDLZ</w:t>
      </w:r>
      <w:r>
        <w:rPr>
          <w:rFonts w:ascii="Calibri" w:hAnsi="Calibri"/>
          <w:color w:val="525866"/>
          <w:sz w:val="22"/>
        </w:rPr>
        <w:t xml:space="preserve"> (consumer sentiment, North America dynamics).</w:t>
      </w:r>
    </w:p>
    <w:p>
      <w:r>
        <w:rPr>
          <w:rFonts w:ascii="Calibri" w:hAnsi="Calibri"/>
          <w:i/>
          <w:color w:val="525866"/>
          <w:sz w:val="22"/>
        </w:rPr>
        <w:t>Note: Only peer commentary about the current reporting quarter (Q2 2026) or forward-looking commentary made after last earnings is included. Prior-quarter results commentary has been excluded.</w:t>
      </w:r>
    </w:p>
    <w:p>
      <w:pPr>
        <w:pStyle w:val="Heading2"/>
      </w:pPr>
      <w:r>
        <w:rPr>
          <w:rFonts w:ascii="Calibri" w:hAnsi="Calibri"/>
          <w:b/>
          <w:color w:val="3B4259"/>
          <w:sz w:val="28"/>
        </w:rPr>
        <w:t>McCormick &amp; Company (MKC) — Q2 FY2026 Earnings (June 25, 2026)</w:t>
      </w:r>
    </w:p>
    <w:p>
      <w:r>
        <w:rPr>
          <w:rFonts w:ascii="Calibri" w:hAnsi="Calibri"/>
          <w:b/>
          <w:color w:val="525866"/>
          <w:sz w:val="22"/>
        </w:rPr>
        <w:t xml:space="preserve">Relevance: </w:t>
      </w:r>
      <w:r>
        <w:rPr>
          <w:rFonts w:ascii="Calibri" w:hAnsi="Calibri"/>
          <w:color w:val="525866"/>
          <w:sz w:val="22"/>
        </w:rPr>
        <w:t>High — MKC’s consumer segment covers spices, seasonings, condiments, and sauces, directly overlapping with KHC’s Taste Elevation portfolio (Heinz, Frank’s, Cholula).</w:t>
      </w:r>
    </w:p>
    <w:p>
      <w:pPr>
        <w:pStyle w:val="ListBullet"/>
        <w:ind w:left="360" w:hanging="360"/>
      </w:pPr>
      <w:r>
        <w:rPr>
          <w:rFonts w:ascii="Calibri" w:hAnsi="Calibri"/>
          <w:color w:val="525866"/>
          <w:sz w:val="22"/>
        </w:rPr>
        <w:t xml:space="preserve">Consumer volumes in the Americas were pressured by </w:t>
      </w:r>
      <w:r>
        <w:rPr>
          <w:rFonts w:ascii="Calibri" w:hAnsi="Calibri"/>
          <w:b/>
          <w:color w:val="525866"/>
          <w:sz w:val="22"/>
        </w:rPr>
        <w:t>increased price sensitivity and competition from private label and branded products</w:t>
      </w:r>
      <w:r>
        <w:rPr>
          <w:rFonts w:ascii="Calibri" w:hAnsi="Calibri"/>
          <w:color w:val="525866"/>
          <w:sz w:val="22"/>
        </w:rPr>
        <w:t xml:space="preserve"> in spices/seasonings — a direct read-through to KHC’s condiment categories where share recovery is a key metric.</w:t>
      </w:r>
    </w:p>
    <w:p>
      <w:pPr>
        <w:pStyle w:val="ListBullet"/>
        <w:ind w:left="360" w:hanging="360"/>
      </w:pPr>
      <w:r>
        <w:rPr>
          <w:rFonts w:ascii="Calibri" w:hAnsi="Calibri"/>
          <w:color w:val="525866"/>
          <w:sz w:val="22"/>
        </w:rPr>
        <w:t xml:space="preserve">MKC’s mid-single-digit cost inflation guide is now tracking toward the </w:t>
      </w:r>
      <w:r>
        <w:rPr>
          <w:rFonts w:ascii="Calibri" w:hAnsi="Calibri"/>
          <w:b/>
          <w:color w:val="525866"/>
          <w:sz w:val="22"/>
        </w:rPr>
        <w:t>high end at ~6%</w:t>
      </w:r>
      <w:r>
        <w:rPr>
          <w:rFonts w:ascii="Calibri" w:hAnsi="Calibri"/>
          <w:color w:val="525866"/>
          <w:sz w:val="22"/>
        </w:rPr>
        <w:t>, driven by Middle East conflict impacts on energy and logistics — consistent with KHC’s flagged Q3 inflation risk on resins/energy, and suggests the cost environment may be more challenging than KHC’s ~4% guide implies.</w:t>
      </w:r>
    </w:p>
    <w:p>
      <w:pPr>
        <w:pStyle w:val="ListBullet"/>
        <w:ind w:left="360" w:hanging="360"/>
      </w:pPr>
      <w:r>
        <w:rPr>
          <w:rFonts w:ascii="Calibri" w:hAnsi="Calibri"/>
          <w:color w:val="525866"/>
          <w:sz w:val="22"/>
        </w:rPr>
        <w:t xml:space="preserve">Hot sauce (Frank’s, Cholula) saw </w:t>
      </w:r>
      <w:r>
        <w:rPr>
          <w:rFonts w:ascii="Calibri" w:hAnsi="Calibri"/>
          <w:b/>
          <w:color w:val="525866"/>
          <w:sz w:val="22"/>
        </w:rPr>
        <w:t>U.S. dollar and unit share gains for the third consecutive quarter</w:t>
      </w:r>
      <w:r>
        <w:rPr>
          <w:rFonts w:ascii="Calibri" w:hAnsi="Calibri"/>
          <w:color w:val="525866"/>
          <w:sz w:val="22"/>
        </w:rPr>
        <w:t>, supported by expanded distribution and innovation — a positive read-through for KHC’s Away From Home sauces business.</w:t>
      </w:r>
    </w:p>
    <w:p>
      <w:pPr>
        <w:pStyle w:val="ListBullet"/>
        <w:ind w:left="360" w:hanging="360"/>
      </w:pPr>
      <w:r>
        <w:rPr>
          <w:rFonts w:ascii="Calibri" w:hAnsi="Calibri"/>
          <w:color w:val="525866"/>
          <w:sz w:val="22"/>
        </w:rPr>
        <w:t xml:space="preserve">The promotional environment saw </w:t>
      </w:r>
      <w:r>
        <w:rPr>
          <w:rFonts w:ascii="Calibri" w:hAnsi="Calibri"/>
          <w:b/>
          <w:color w:val="525866"/>
          <w:sz w:val="22"/>
        </w:rPr>
        <w:t>"a lot more competitive promotional activity"</w:t>
      </w:r>
      <w:r>
        <w:rPr>
          <w:rFonts w:ascii="Calibri" w:hAnsi="Calibri"/>
          <w:color w:val="525866"/>
          <w:sz w:val="22"/>
        </w:rPr>
        <w:t xml:space="preserve"> in Q2 — a potential headwind for KHC’s volume recovery if it needs to match competitor promotions to defend share.</w:t>
      </w:r>
    </w:p>
    <w:p>
      <w:pPr>
        <w:pStyle w:val="ListBullet"/>
        <w:ind w:left="360" w:hanging="360"/>
      </w:pPr>
      <w:r>
        <w:rPr>
          <w:rFonts w:ascii="Calibri" w:hAnsi="Calibri"/>
          <w:color w:val="525866"/>
          <w:sz w:val="22"/>
        </w:rPr>
        <w:t xml:space="preserve">MKC expects </w:t>
      </w:r>
      <w:r>
        <w:rPr>
          <w:rFonts w:ascii="Calibri" w:hAnsi="Calibri"/>
          <w:b/>
          <w:color w:val="525866"/>
          <w:sz w:val="22"/>
        </w:rPr>
        <w:t>sequential volume improvement in Q3 and volume growth in Q4</w:t>
      </w:r>
      <w:r>
        <w:rPr>
          <w:rFonts w:ascii="Calibri" w:hAnsi="Calibri"/>
          <w:color w:val="525866"/>
          <w:sz w:val="22"/>
        </w:rPr>
        <w:t>, driven by refined revenue growth management and expanded distribution — suggests the category environment may improve in H2, supporting KHC’s back-half recovery thesis.</w:t>
      </w:r>
    </w:p>
    <w:p>
      <w:pPr>
        <w:pStyle w:val="ListBullet"/>
        <w:ind w:left="360" w:hanging="360"/>
      </w:pPr>
      <w:r>
        <w:rPr>
          <w:rFonts w:ascii="Calibri" w:hAnsi="Calibri"/>
          <w:color w:val="525866"/>
          <w:sz w:val="22"/>
        </w:rPr>
        <w:t xml:space="preserve">Flavor Solutions (large CPG customers) grew </w:t>
      </w:r>
      <w:r>
        <w:rPr>
          <w:rFonts w:ascii="Calibri" w:hAnsi="Calibri"/>
          <w:b/>
          <w:color w:val="525866"/>
          <w:sz w:val="22"/>
        </w:rPr>
        <w:t>4% organically in the Americas</w:t>
      </w:r>
      <w:r>
        <w:rPr>
          <w:rFonts w:ascii="Calibri" w:hAnsi="Calibri"/>
          <w:color w:val="525866"/>
          <w:sz w:val="22"/>
        </w:rPr>
        <w:t xml:space="preserve"> — suggests large food companies are still investing in product development, a positive for KHC’s innovation pipeline and R&amp;D partnerships.</w:t>
      </w:r>
    </w:p>
    <w:p>
      <w:pPr>
        <w:pStyle w:val="Heading2"/>
      </w:pPr>
      <w:r>
        <w:rPr>
          <w:rFonts w:ascii="Calibri" w:hAnsi="Calibri"/>
          <w:b/>
          <w:color w:val="3B4259"/>
          <w:sz w:val="28"/>
        </w:rPr>
        <w:t>General Mills (GIS) — Q4 FY2026 Earnings (July 1, 2026)</w:t>
      </w:r>
    </w:p>
    <w:p>
      <w:r>
        <w:rPr>
          <w:rFonts w:ascii="Calibri" w:hAnsi="Calibri"/>
          <w:b/>
          <w:color w:val="525866"/>
          <w:sz w:val="22"/>
        </w:rPr>
        <w:t xml:space="preserve">Relevance: </w:t>
      </w:r>
      <w:r>
        <w:rPr>
          <w:rFonts w:ascii="Calibri" w:hAnsi="Calibri"/>
          <w:color w:val="525866"/>
          <w:sz w:val="22"/>
        </w:rPr>
        <w:t>High — GIS competes directly in center-of-store and food at home, and provides the most direct read on the consumer backdrop KHC faces in its core U.S. business.</w:t>
      </w:r>
    </w:p>
    <w:p>
      <w:pPr>
        <w:pStyle w:val="ListBullet"/>
        <w:ind w:left="360" w:hanging="360"/>
      </w:pPr>
      <w:r>
        <w:rPr>
          <w:rFonts w:ascii="Calibri" w:hAnsi="Calibri"/>
          <w:color w:val="525866"/>
          <w:sz w:val="22"/>
        </w:rPr>
        <w:t xml:space="preserve">GIS observed that categories </w:t>
      </w:r>
      <w:r>
        <w:rPr>
          <w:rFonts w:ascii="Calibri" w:hAnsi="Calibri"/>
          <w:b/>
          <w:color w:val="525866"/>
          <w:sz w:val="22"/>
        </w:rPr>
        <w:t>"slowed down by about a point"</w:t>
      </w:r>
      <w:r>
        <w:rPr>
          <w:rFonts w:ascii="Calibri" w:hAnsi="Calibri"/>
          <w:color w:val="525866"/>
          <w:sz w:val="22"/>
        </w:rPr>
        <w:t xml:space="preserve"> as it exited Q4, and at-home eating consumption remained "pretty stable at 86%" — suggests the food-at-home tailwind is not accelerating, consistent with KHC’s muted top-line guide.</w:t>
      </w:r>
    </w:p>
    <w:p>
      <w:pPr>
        <w:pStyle w:val="ListBullet"/>
        <w:ind w:left="360" w:hanging="360"/>
      </w:pPr>
      <w:r>
        <w:rPr>
          <w:rFonts w:ascii="Calibri" w:hAnsi="Calibri"/>
          <w:color w:val="525866"/>
          <w:sz w:val="22"/>
        </w:rPr>
        <w:t xml:space="preserve">Private label gained share </w:t>
      </w:r>
      <w:r>
        <w:rPr>
          <w:rFonts w:ascii="Calibri" w:hAnsi="Calibri"/>
          <w:b/>
          <w:color w:val="525866"/>
          <w:sz w:val="22"/>
        </w:rPr>
        <w:t>"in pretty much all categories"</w:t>
      </w:r>
      <w:r>
        <w:rPr>
          <w:rFonts w:ascii="Calibri" w:hAnsi="Calibri"/>
          <w:color w:val="525866"/>
          <w:sz w:val="22"/>
        </w:rPr>
        <w:t xml:space="preserve"> and small brands also stole share — a direct headwind for KHC’s branded portfolio, particularly in categories where KHC is investing to recover share.</w:t>
      </w:r>
    </w:p>
    <w:p>
      <w:pPr>
        <w:pStyle w:val="ListBullet"/>
        <w:ind w:left="360" w:hanging="360"/>
      </w:pPr>
      <w:r>
        <w:rPr>
          <w:rFonts w:ascii="Calibri" w:hAnsi="Calibri"/>
          <w:color w:val="525866"/>
          <w:sz w:val="22"/>
        </w:rPr>
        <w:t xml:space="preserve">Consumers are </w:t>
      </w:r>
      <w:r>
        <w:rPr>
          <w:rFonts w:ascii="Calibri" w:hAnsi="Calibri"/>
          <w:b/>
          <w:color w:val="525866"/>
          <w:sz w:val="22"/>
        </w:rPr>
        <w:t>"buying more on promotion and less on everyday prices"</w:t>
      </w:r>
      <w:r>
        <w:rPr>
          <w:rFonts w:ascii="Calibri" w:hAnsi="Calibri"/>
          <w:color w:val="525866"/>
          <w:sz w:val="22"/>
        </w:rPr>
        <w:t xml:space="preserve"> — consistent with KHC’s need to deploy promotional spend as part of its $600M investment, and suggests the promotional environment remains elevated.</w:t>
      </w:r>
    </w:p>
    <w:p>
      <w:pPr>
        <w:pStyle w:val="ListBullet"/>
        <w:ind w:left="360" w:hanging="360"/>
      </w:pPr>
      <w:r>
        <w:rPr>
          <w:rFonts w:ascii="Calibri" w:hAnsi="Calibri"/>
          <w:color w:val="525866"/>
          <w:sz w:val="22"/>
        </w:rPr>
        <w:t xml:space="preserve">GIS’s base volume (most profitable) was down ~10% at the start of the prior year but has now recovered to </w:t>
      </w:r>
      <w:r>
        <w:rPr>
          <w:rFonts w:ascii="Calibri" w:hAnsi="Calibri"/>
          <w:b/>
          <w:color w:val="525866"/>
          <w:sz w:val="22"/>
        </w:rPr>
        <w:t>+1% where they invested on price</w:t>
      </w:r>
      <w:r>
        <w:rPr>
          <w:rFonts w:ascii="Calibri" w:hAnsi="Calibri"/>
          <w:color w:val="525866"/>
          <w:sz w:val="22"/>
        </w:rPr>
        <w:t xml:space="preserve"> — a potential blueprint for KHC’s own volume recovery trajectory, though KHC is earlier in the cycle.</w:t>
      </w:r>
    </w:p>
    <w:p>
      <w:pPr>
        <w:pStyle w:val="ListBullet"/>
        <w:ind w:left="360" w:hanging="360"/>
      </w:pPr>
      <w:r>
        <w:rPr>
          <w:rFonts w:ascii="Calibri" w:hAnsi="Calibri"/>
          <w:color w:val="525866"/>
          <w:sz w:val="22"/>
        </w:rPr>
        <w:t xml:space="preserve">GIS is </w:t>
      </w:r>
      <w:r>
        <w:rPr>
          <w:rFonts w:ascii="Calibri" w:hAnsi="Calibri"/>
          <w:b/>
          <w:color w:val="525866"/>
          <w:sz w:val="22"/>
        </w:rPr>
        <w:t>"not anticipating an improved consumer environment"</w:t>
      </w:r>
      <w:r>
        <w:rPr>
          <w:rFonts w:ascii="Calibri" w:hAnsi="Calibri"/>
          <w:color w:val="525866"/>
          <w:sz w:val="22"/>
        </w:rPr>
        <w:t xml:space="preserve"> for its new fiscal year — a sobering read-through for KHC’s H2 recovery assumptions, which depend on improving category trends.</w:t>
      </w:r>
    </w:p>
    <w:p>
      <w:pPr>
        <w:pStyle w:val="ListBullet"/>
        <w:ind w:left="360" w:hanging="360"/>
      </w:pPr>
      <w:r>
        <w:rPr>
          <w:rFonts w:ascii="Calibri" w:hAnsi="Calibri"/>
          <w:color w:val="525866"/>
          <w:sz w:val="22"/>
        </w:rPr>
        <w:t xml:space="preserve">Retailer inventory dynamics: GIS flagged a </w:t>
      </w:r>
      <w:r>
        <w:rPr>
          <w:rFonts w:ascii="Calibri" w:hAnsi="Calibri"/>
          <w:b/>
          <w:color w:val="525866"/>
          <w:sz w:val="22"/>
        </w:rPr>
        <w:t>"two-point gap between organic sales and retail sales"</w:t>
      </w:r>
      <w:r>
        <w:rPr>
          <w:rFonts w:ascii="Calibri" w:hAnsi="Calibri"/>
          <w:color w:val="525866"/>
          <w:sz w:val="22"/>
        </w:rPr>
        <w:t xml:space="preserve"> due to e-comm and mass retailers carrying less inventory — a potential headwind for KHC’s shipment volumes if similar dynamics are at play.</w:t>
      </w:r>
    </w:p>
    <w:p>
      <w:pPr>
        <w:pStyle w:val="Heading2"/>
      </w:pPr>
      <w:r>
        <w:rPr>
          <w:rFonts w:ascii="Calibri" w:hAnsi="Calibri"/>
          <w:b/>
          <w:color w:val="3B4259"/>
          <w:sz w:val="28"/>
        </w:rPr>
        <w:t>Mondelez International (MDLZ) — Q2 2026 Earnings (July 28, 2026)</w:t>
      </w:r>
    </w:p>
    <w:p>
      <w:r>
        <w:rPr>
          <w:rFonts w:ascii="Calibri" w:hAnsi="Calibri"/>
          <w:b/>
          <w:color w:val="525866"/>
          <w:sz w:val="22"/>
        </w:rPr>
        <w:t xml:space="preserve">Relevance: </w:t>
      </w:r>
      <w:r>
        <w:rPr>
          <w:rFonts w:ascii="Calibri" w:hAnsi="Calibri"/>
          <w:color w:val="525866"/>
          <w:sz w:val="22"/>
        </w:rPr>
        <w:t>Moderate — MDLZ is primarily snacking (biscuits, chocolate), with less direct overlap with KHC’s center-of-store portfolio, but provides the most current read on consumer sentiment and North America dynamics.</w:t>
      </w:r>
    </w:p>
    <w:p>
      <w:pPr>
        <w:pStyle w:val="ListBullet"/>
        <w:ind w:left="360" w:hanging="360"/>
      </w:pPr>
      <w:r>
        <w:rPr>
          <w:rFonts w:ascii="Calibri" w:hAnsi="Calibri"/>
          <w:color w:val="525866"/>
          <w:sz w:val="22"/>
        </w:rPr>
        <w:t xml:space="preserve">MDLZ reported </w:t>
      </w:r>
      <w:r>
        <w:rPr>
          <w:rFonts w:ascii="Calibri" w:hAnsi="Calibri"/>
          <w:b/>
          <w:color w:val="525866"/>
          <w:sz w:val="22"/>
        </w:rPr>
        <w:t>4.4% top-line growth with positive volume mix in Q2</w:t>
      </w:r>
      <w:r>
        <w:rPr>
          <w:rFonts w:ascii="Calibri" w:hAnsi="Calibri"/>
          <w:color w:val="525866"/>
          <w:sz w:val="22"/>
        </w:rPr>
        <w:t xml:space="preserve"> and gained share in "all categories in North America" — a stark contrast to KHC’s expected -3% to -5% organic decline, highlighting that snacking is outperforming center-of-store.</w:t>
      </w:r>
    </w:p>
    <w:p>
      <w:pPr>
        <w:pStyle w:val="ListBullet"/>
        <w:ind w:left="360" w:hanging="360"/>
      </w:pPr>
      <w:r>
        <w:rPr>
          <w:rFonts w:ascii="Calibri" w:hAnsi="Calibri"/>
          <w:color w:val="525866"/>
          <w:sz w:val="22"/>
        </w:rPr>
        <w:t xml:space="preserve">North American consumer confidence </w:t>
      </w:r>
      <w:r>
        <w:rPr>
          <w:rFonts w:ascii="Calibri" w:hAnsi="Calibri"/>
          <w:b/>
          <w:color w:val="525866"/>
          <w:sz w:val="22"/>
        </w:rPr>
        <w:t>"rebounded from lows but remains very subdued"</w:t>
      </w:r>
      <w:r>
        <w:rPr>
          <w:rFonts w:ascii="Calibri" w:hAnsi="Calibri"/>
          <w:color w:val="525866"/>
          <w:sz w:val="22"/>
        </w:rPr>
        <w:t xml:space="preserve"> — inflation and energy prices continue to pressure consumers, consistent with KHC’s SNAP headwind and value-seeking consumer backdrop.</w:t>
      </w:r>
    </w:p>
    <w:p>
      <w:pPr>
        <w:pStyle w:val="ListBullet"/>
        <w:ind w:left="360" w:hanging="360"/>
      </w:pPr>
      <w:r>
        <w:rPr>
          <w:rFonts w:ascii="Calibri" w:hAnsi="Calibri"/>
          <w:color w:val="525866"/>
          <w:sz w:val="22"/>
        </w:rPr>
        <w:t xml:space="preserve">MDLZ observed </w:t>
      </w:r>
      <w:r>
        <w:rPr>
          <w:rFonts w:ascii="Calibri" w:hAnsi="Calibri"/>
          <w:b/>
          <w:color w:val="525866"/>
          <w:sz w:val="22"/>
        </w:rPr>
        <w:t>"case-shaped growth"</w:t>
      </w:r>
      <w:r>
        <w:rPr>
          <w:rFonts w:ascii="Calibri" w:hAnsi="Calibri"/>
          <w:color w:val="525866"/>
          <w:sz w:val="22"/>
        </w:rPr>
        <w:t xml:space="preserve"> — consumers simultaneously trading down to value formats/channels while also buying premium/better-for-you — this bifurcation is directly relevant for KHC’s price pack architecture strategy (opening price points + premium Heinz Simply/Zero).</w:t>
      </w:r>
    </w:p>
    <w:p>
      <w:pPr>
        <w:pStyle w:val="ListBullet"/>
        <w:ind w:left="360" w:hanging="360"/>
      </w:pPr>
      <w:r>
        <w:rPr>
          <w:rFonts w:ascii="Calibri" w:hAnsi="Calibri"/>
          <w:color w:val="525866"/>
          <w:sz w:val="22"/>
        </w:rPr>
        <w:t xml:space="preserve">MDLZ saw </w:t>
      </w:r>
      <w:r>
        <w:rPr>
          <w:rFonts w:ascii="Calibri" w:hAnsi="Calibri"/>
          <w:b/>
          <w:color w:val="525866"/>
          <w:sz w:val="22"/>
        </w:rPr>
        <w:t>"very strong growth in the value channel, high single digit"</w:t>
      </w:r>
      <w:r>
        <w:rPr>
          <w:rFonts w:ascii="Calibri" w:hAnsi="Calibri"/>
          <w:color w:val="525866"/>
          <w:sz w:val="22"/>
        </w:rPr>
        <w:t xml:space="preserve"> — suggests consumers are migrating to value channels, which could pressure KHC’s traditional retail volumes.</w:t>
      </w:r>
    </w:p>
    <w:p>
      <w:pPr>
        <w:pStyle w:val="ListBullet"/>
        <w:ind w:left="360" w:hanging="360"/>
      </w:pPr>
      <w:r>
        <w:rPr>
          <w:rFonts w:ascii="Calibri" w:hAnsi="Calibri"/>
          <w:color w:val="525866"/>
          <w:sz w:val="22"/>
        </w:rPr>
        <w:t xml:space="preserve">MDLZ’s promotional execution described as </w:t>
      </w:r>
      <w:r>
        <w:rPr>
          <w:rFonts w:ascii="Calibri" w:hAnsi="Calibri"/>
          <w:b/>
          <w:color w:val="525866"/>
          <w:sz w:val="22"/>
        </w:rPr>
        <w:t>"very disciplined" and "working well"</w:t>
      </w:r>
      <w:r>
        <w:rPr>
          <w:rFonts w:ascii="Calibri" w:hAnsi="Calibri"/>
          <w:color w:val="525866"/>
          <w:sz w:val="22"/>
        </w:rPr>
        <w:t xml:space="preserve"> — a positive signal that the promotional environment in food is not irrational, which supports KHC’s ability to invest in promotions without triggering a price war.</w:t>
      </w:r>
    </w:p>
    <w:p>
      <w:pPr>
        <w:pStyle w:val="ListBullet"/>
        <w:ind w:left="360" w:hanging="360"/>
      </w:pPr>
      <w:r>
        <w:rPr>
          <w:rFonts w:ascii="Calibri" w:hAnsi="Calibri"/>
          <w:color w:val="525866"/>
          <w:sz w:val="22"/>
        </w:rPr>
        <w:t xml:space="preserve">MDLZ raised its full-year top-line guide to </w:t>
      </w:r>
      <w:r>
        <w:rPr>
          <w:rFonts w:ascii="Calibri" w:hAnsi="Calibri"/>
          <w:b/>
          <w:color w:val="525866"/>
          <w:sz w:val="22"/>
        </w:rPr>
        <w:t>"at least +2%"</w:t>
      </w:r>
      <w:r>
        <w:rPr>
          <w:rFonts w:ascii="Calibri" w:hAnsi="Calibri"/>
          <w:color w:val="525866"/>
          <w:sz w:val="22"/>
        </w:rPr>
        <w:t xml:space="preserve"> and expects a "very strong second half in North America" — a positive read for the broader food category, though snacking dynamics differ meaningfully from KHC’s center-of-store exposure.</w:t>
      </w:r>
    </w:p>
    <w:p>
      <w:pPr>
        <w:pStyle w:val="Heading2"/>
      </w:pPr>
      <w:r>
        <w:rPr>
          <w:rFonts w:ascii="Calibri" w:hAnsi="Calibri"/>
          <w:b/>
          <w:color w:val="3B4259"/>
          <w:sz w:val="28"/>
        </w:rPr>
        <w:t>Conagra Brands (CAG) — Q4 FY2026 Earnings (July 15, 2026)</w:t>
      </w:r>
    </w:p>
    <w:p>
      <w:r>
        <w:rPr>
          <w:rFonts w:ascii="Calibri" w:hAnsi="Calibri"/>
          <w:b/>
          <w:color w:val="525866"/>
          <w:sz w:val="22"/>
        </w:rPr>
        <w:t xml:space="preserve">Relevance: </w:t>
      </w:r>
      <w:r>
        <w:rPr>
          <w:rFonts w:ascii="Calibri" w:hAnsi="Calibri"/>
          <w:color w:val="525866"/>
          <w:sz w:val="22"/>
        </w:rPr>
        <w:t>Moderate — CAG competes in frozen meals, snacks, and condiments, with some overlap in KHC’s frozen and center-of-store categories.</w:t>
      </w:r>
    </w:p>
    <w:p>
      <w:pPr>
        <w:pStyle w:val="ListBullet"/>
        <w:ind w:left="360" w:hanging="360"/>
      </w:pPr>
      <w:r>
        <w:rPr>
          <w:rFonts w:ascii="Calibri" w:hAnsi="Calibri"/>
          <w:color w:val="525866"/>
          <w:sz w:val="22"/>
        </w:rPr>
        <w:t xml:space="preserve">CAG described consumers as </w:t>
      </w:r>
      <w:r>
        <w:rPr>
          <w:rFonts w:ascii="Calibri" w:hAnsi="Calibri"/>
          <w:b/>
          <w:color w:val="525866"/>
          <w:sz w:val="22"/>
        </w:rPr>
        <w:t>"very value conscious"</w:t>
      </w:r>
      <w:r>
        <w:rPr>
          <w:rFonts w:ascii="Calibri" w:hAnsi="Calibri"/>
          <w:color w:val="525866"/>
          <w:sz w:val="22"/>
        </w:rPr>
        <w:t xml:space="preserve"> and noted its portfolio "plays across the full value spectrum" — consistent with KHC’s strategy of opening price points across ~40% of its U.S. portfolio.</w:t>
      </w:r>
    </w:p>
    <w:p>
      <w:pPr>
        <w:pStyle w:val="ListBullet"/>
        <w:ind w:left="360" w:hanging="360"/>
      </w:pPr>
      <w:r>
        <w:rPr>
          <w:rFonts w:ascii="Calibri" w:hAnsi="Calibri"/>
          <w:color w:val="525866"/>
          <w:sz w:val="22"/>
        </w:rPr>
        <w:t xml:space="preserve">CAG guided volumes </w:t>
      </w:r>
      <w:r>
        <w:rPr>
          <w:rFonts w:ascii="Calibri" w:hAnsi="Calibri"/>
          <w:b/>
          <w:color w:val="525866"/>
          <w:sz w:val="22"/>
        </w:rPr>
        <w:t>"down mid-single digits"</w:t>
      </w:r>
      <w:r>
        <w:rPr>
          <w:rFonts w:ascii="Calibri" w:hAnsi="Calibri"/>
          <w:color w:val="525866"/>
          <w:sz w:val="22"/>
        </w:rPr>
        <w:t xml:space="preserve"> for the year, weighted toward frozen, with organic net sales guided to -2% at the midpoint — directionally consistent with KHC’s own volume pressure in center-of-store.</w:t>
      </w:r>
    </w:p>
    <w:p>
      <w:pPr>
        <w:pStyle w:val="ListBullet"/>
        <w:ind w:left="360" w:hanging="360"/>
      </w:pPr>
      <w:r>
        <w:rPr>
          <w:rFonts w:ascii="Calibri" w:hAnsi="Calibri"/>
          <w:color w:val="525866"/>
          <w:sz w:val="22"/>
        </w:rPr>
        <w:t xml:space="preserve">CAG flagged </w:t>
      </w:r>
      <w:r>
        <w:rPr>
          <w:rFonts w:ascii="Calibri" w:hAnsi="Calibri"/>
          <w:b/>
          <w:color w:val="525866"/>
          <w:sz w:val="22"/>
        </w:rPr>
        <w:t>inflation of 5-6%</w:t>
      </w:r>
      <w:r>
        <w:rPr>
          <w:rFonts w:ascii="Calibri" w:hAnsi="Calibri"/>
          <w:color w:val="525866"/>
          <w:sz w:val="22"/>
        </w:rPr>
        <w:t xml:space="preserve"> for the year, with productivity above 4% as the first line of defense — mirrors KHC’s own inflation (~4%) and productivity (~4% of COGS) framework almost exactly, though CAG’s inflation is running hotter.</w:t>
      </w:r>
    </w:p>
    <w:p>
      <w:pPr>
        <w:pStyle w:val="ListBullet"/>
        <w:ind w:left="360" w:hanging="360"/>
      </w:pPr>
      <w:r>
        <w:rPr>
          <w:rFonts w:ascii="Calibri" w:hAnsi="Calibri"/>
          <w:color w:val="525866"/>
          <w:sz w:val="22"/>
        </w:rPr>
        <w:t xml:space="preserve">CAG is implementing pricing actions in </w:t>
      </w:r>
      <w:r>
        <w:rPr>
          <w:rFonts w:ascii="Calibri" w:hAnsi="Calibri"/>
          <w:b/>
          <w:color w:val="525866"/>
          <w:sz w:val="22"/>
        </w:rPr>
        <w:t>"mid-Q2"</w:t>
      </w:r>
      <w:r>
        <w:rPr>
          <w:rFonts w:ascii="Calibri" w:hAnsi="Calibri"/>
          <w:color w:val="525866"/>
          <w:sz w:val="22"/>
        </w:rPr>
        <w:t xml:space="preserve"> — suggests some peers are taking price to offset inflation, which could provide KHC cover if it needs to take selective pricing in H2.</w:t>
      </w:r>
    </w:p>
    <w:p>
      <w:pPr>
        <w:pStyle w:val="ListBullet"/>
        <w:ind w:left="360" w:hanging="360"/>
      </w:pPr>
      <w:r>
        <w:rPr>
          <w:rFonts w:ascii="Calibri" w:hAnsi="Calibri"/>
          <w:color w:val="525866"/>
          <w:sz w:val="22"/>
        </w:rPr>
        <w:t xml:space="preserve">CAG’s frozen segment is </w:t>
      </w:r>
      <w:r>
        <w:rPr>
          <w:rFonts w:ascii="Calibri" w:hAnsi="Calibri"/>
          <w:b/>
          <w:color w:val="525866"/>
          <w:sz w:val="22"/>
        </w:rPr>
        <w:t>"on trend"</w:t>
      </w:r>
      <w:r>
        <w:rPr>
          <w:rFonts w:ascii="Calibri" w:hAnsi="Calibri"/>
          <w:color w:val="525866"/>
          <w:sz w:val="22"/>
        </w:rPr>
        <w:t xml:space="preserve"> and the company is "not backing off" its commitment — relevant context for KHC’s decision to downgrade frozen from "win big" to "hold" in its portfolio prioritization framework.</w:t>
      </w:r>
    </w:p>
    <w:p>
      <w:pPr>
        <w:pStyle w:val="Heading2"/>
      </w:pPr>
      <w:r>
        <w:rPr>
          <w:rFonts w:ascii="Calibri" w:hAnsi="Calibri"/>
          <w:b/>
          <w:color w:val="3B4259"/>
          <w:sz w:val="28"/>
        </w:rPr>
        <w:t>Campbell’s Company (CPB) — Q3 FY2026 Earnings (June 8, 2026)</w:t>
      </w:r>
    </w:p>
    <w:p>
      <w:r>
        <w:rPr>
          <w:rFonts w:ascii="Calibri" w:hAnsi="Calibri"/>
          <w:b/>
          <w:color w:val="525866"/>
          <w:sz w:val="22"/>
        </w:rPr>
        <w:t xml:space="preserve">Relevance: </w:t>
      </w:r>
      <w:r>
        <w:rPr>
          <w:rFonts w:ascii="Calibri" w:hAnsi="Calibri"/>
          <w:color w:val="525866"/>
          <w:sz w:val="22"/>
        </w:rPr>
        <w:t>Moderate — CPB’s Meals &amp; Beverages segment (soups, sauces, Rao’s) overlaps with KHC’s center-of-store and condiment categories.</w:t>
      </w:r>
    </w:p>
    <w:p>
      <w:pPr>
        <w:pStyle w:val="ListBullet"/>
        <w:ind w:left="360" w:hanging="360"/>
      </w:pPr>
      <w:r>
        <w:rPr>
          <w:rFonts w:ascii="Calibri" w:hAnsi="Calibri"/>
          <w:color w:val="525866"/>
          <w:sz w:val="22"/>
        </w:rPr>
        <w:t xml:space="preserve">CPB noted the </w:t>
      </w:r>
      <w:r>
        <w:rPr>
          <w:rFonts w:ascii="Calibri" w:hAnsi="Calibri"/>
          <w:b/>
          <w:color w:val="525866"/>
          <w:sz w:val="22"/>
        </w:rPr>
        <w:t>"at-home cooking consumer trend is resilient"</w:t>
      </w:r>
      <w:r>
        <w:rPr>
          <w:rFonts w:ascii="Calibri" w:hAnsi="Calibri"/>
          <w:color w:val="525866"/>
          <w:sz w:val="22"/>
        </w:rPr>
        <w:t xml:space="preserve"> and expects it to continue — a positive read for KHC’s condiment and sauce categories, which benefit from at-home cooking occasions.</w:t>
      </w:r>
    </w:p>
    <w:p>
      <w:pPr>
        <w:pStyle w:val="ListBullet"/>
        <w:ind w:left="360" w:hanging="360"/>
      </w:pPr>
      <w:r>
        <w:rPr>
          <w:rFonts w:ascii="Calibri" w:hAnsi="Calibri"/>
          <w:color w:val="525866"/>
          <w:sz w:val="22"/>
        </w:rPr>
        <w:t xml:space="preserve">CPB’s mainstream ready-to-serve soup is </w:t>
      </w:r>
      <w:r>
        <w:rPr>
          <w:rFonts w:ascii="Calibri" w:hAnsi="Calibri"/>
          <w:b/>
          <w:color w:val="525866"/>
          <w:sz w:val="22"/>
        </w:rPr>
        <w:t>"under pressure"</w:t>
      </w:r>
      <w:r>
        <w:rPr>
          <w:rFonts w:ascii="Calibri" w:hAnsi="Calibri"/>
          <w:color w:val="525866"/>
          <w:sz w:val="22"/>
        </w:rPr>
        <w:t xml:space="preserve"> while premium (Rao’s, Pacific) is growing — consistent with the bifurcation theme and KHC’s strategy of investing in premium Heinz variants while protecting opening price points.</w:t>
      </w:r>
    </w:p>
    <w:p>
      <w:pPr>
        <w:pStyle w:val="ListBullet"/>
        <w:ind w:left="360" w:hanging="360"/>
      </w:pPr>
      <w:r>
        <w:rPr>
          <w:rFonts w:ascii="Calibri" w:hAnsi="Calibri"/>
          <w:color w:val="525866"/>
          <w:sz w:val="22"/>
        </w:rPr>
        <w:t xml:space="preserve">CPB flagged base inflation of </w:t>
      </w:r>
      <w:r>
        <w:rPr>
          <w:rFonts w:ascii="Calibri" w:hAnsi="Calibri"/>
          <w:b/>
          <w:color w:val="525866"/>
          <w:sz w:val="22"/>
        </w:rPr>
        <w:t>~3% pre-Middle East conflict, rising to potentially 5-6%</w:t>
      </w:r>
      <w:r>
        <w:rPr>
          <w:rFonts w:ascii="Calibri" w:hAnsi="Calibri"/>
          <w:color w:val="525866"/>
          <w:sz w:val="22"/>
        </w:rPr>
        <w:t xml:space="preserve"> if oil stays at ~$100/barrel — a more severe inflation outlook than KHC’s ~4% guide, suggesting KHC may be better positioned on inflation management.</w:t>
      </w:r>
    </w:p>
    <w:p>
      <w:pPr>
        <w:pStyle w:val="ListBullet"/>
        <w:ind w:left="360" w:hanging="360"/>
      </w:pPr>
      <w:r>
        <w:rPr>
          <w:rFonts w:ascii="Calibri" w:hAnsi="Calibri"/>
          <w:color w:val="525866"/>
          <w:sz w:val="22"/>
        </w:rPr>
        <w:t xml:space="preserve">CPB canceled all promotions in Q3 to stabilize bakery on-shelf availability — a reminder that </w:t>
      </w:r>
      <w:r>
        <w:rPr>
          <w:rFonts w:ascii="Calibri" w:hAnsi="Calibri"/>
          <w:b/>
          <w:color w:val="525866"/>
          <w:sz w:val="22"/>
        </w:rPr>
        <w:t>operational execution</w:t>
      </w:r>
      <w:r>
        <w:rPr>
          <w:rFonts w:ascii="Calibri" w:hAnsi="Calibri"/>
          <w:color w:val="525866"/>
          <w:sz w:val="22"/>
        </w:rPr>
        <w:t xml:space="preserve"> (not just investment) is critical to volume recovery, relevant for KHC’s own commercial execution ramp.</w:t>
      </w:r>
    </w:p>
    <w:p>
      <w:pPr>
        <w:pStyle w:val="ListBullet"/>
        <w:ind w:left="360" w:hanging="360"/>
      </w:pPr>
      <w:r>
        <w:rPr>
          <w:rFonts w:ascii="Calibri" w:hAnsi="Calibri"/>
          <w:color w:val="525866"/>
          <w:sz w:val="22"/>
        </w:rPr>
        <w:t xml:space="preserve">CPB’s Snacks EBIT margin improved sequentially but remains </w:t>
      </w:r>
      <w:r>
        <w:rPr>
          <w:rFonts w:ascii="Calibri" w:hAnsi="Calibri"/>
          <w:b/>
          <w:color w:val="525866"/>
          <w:sz w:val="22"/>
        </w:rPr>
        <w:t>down ~400bps YoY</w:t>
      </w:r>
      <w:r>
        <w:rPr>
          <w:rFonts w:ascii="Calibri" w:hAnsi="Calibri"/>
          <w:color w:val="525866"/>
          <w:sz w:val="22"/>
        </w:rPr>
        <w:t xml:space="preserve"> — suggests the snacking category is still under margin pressure, a read-through for KHC’s own margin recovery timeline.</w:t>
      </w:r>
    </w:p>
    <w:p>
      <w:pPr>
        <w:pStyle w:val="Heading2"/>
      </w:pPr>
      <w:r>
        <w:rPr>
          <w:rFonts w:ascii="Calibri" w:hAnsi="Calibri"/>
          <w:b/>
          <w:color w:val="3B4259"/>
          <w:sz w:val="28"/>
        </w:rPr>
        <w:t>J.M. Smucker (SJM) — Q4 FY2026 Earnings (June 9, 2026)</w:t>
      </w:r>
    </w:p>
    <w:p>
      <w:r>
        <w:rPr>
          <w:rFonts w:ascii="Calibri" w:hAnsi="Calibri"/>
          <w:b/>
          <w:color w:val="525866"/>
          <w:sz w:val="22"/>
        </w:rPr>
        <w:t xml:space="preserve">Relevance: </w:t>
      </w:r>
      <w:r>
        <w:rPr>
          <w:rFonts w:ascii="Calibri" w:hAnsi="Calibri"/>
          <w:color w:val="525866"/>
          <w:sz w:val="22"/>
        </w:rPr>
        <w:t>Low-to-Moderate — SJM’s portfolio (coffee, peanut butter, Uncrustables, Hostess) has limited direct overlap with KHC, but provides useful context on consumer behavior in center-of-store and the promotional environment.</w:t>
      </w:r>
    </w:p>
    <w:p>
      <w:pPr>
        <w:pStyle w:val="ListBullet"/>
        <w:ind w:left="360" w:hanging="360"/>
      </w:pPr>
      <w:r>
        <w:rPr>
          <w:rFonts w:ascii="Calibri" w:hAnsi="Calibri"/>
          <w:color w:val="525866"/>
          <w:sz w:val="22"/>
        </w:rPr>
        <w:t xml:space="preserve">SJM noted the consumer </w:t>
      </w:r>
      <w:r>
        <w:rPr>
          <w:rFonts w:ascii="Calibri" w:hAnsi="Calibri"/>
          <w:b/>
          <w:color w:val="525866"/>
          <w:sz w:val="22"/>
        </w:rPr>
        <w:t>"continues to be cautious"</w:t>
      </w:r>
      <w:r>
        <w:rPr>
          <w:rFonts w:ascii="Calibri" w:hAnsi="Calibri"/>
          <w:color w:val="525866"/>
          <w:sz w:val="22"/>
        </w:rPr>
        <w:t xml:space="preserve"> and the company is being "prudent" in how it models the environment — consistent with KHC’s own conservative guidance posture.</w:t>
      </w:r>
    </w:p>
    <w:p>
      <w:pPr>
        <w:pStyle w:val="ListBullet"/>
        <w:ind w:left="360" w:hanging="360"/>
      </w:pPr>
      <w:r>
        <w:rPr>
          <w:rFonts w:ascii="Calibri" w:hAnsi="Calibri"/>
          <w:color w:val="525866"/>
          <w:sz w:val="22"/>
        </w:rPr>
        <w:t xml:space="preserve">SJM’s Uncrustables brand hit </w:t>
      </w:r>
      <w:r>
        <w:rPr>
          <w:rFonts w:ascii="Calibri" w:hAnsi="Calibri"/>
          <w:b/>
          <w:color w:val="525866"/>
          <w:sz w:val="22"/>
        </w:rPr>
        <w:t>$1 billion in sales</w:t>
      </w:r>
      <w:r>
        <w:rPr>
          <w:rFonts w:ascii="Calibri" w:hAnsi="Calibri"/>
          <w:color w:val="525866"/>
          <w:sz w:val="22"/>
        </w:rPr>
        <w:t xml:space="preserve"> and continues to grow at mid-single digits — demonstrates that branded frozen/convenience products with strong consumer equity can still grow in this environment, a positive read for KHC’s own premium innovation strategy.</w:t>
      </w:r>
    </w:p>
    <w:p>
      <w:pPr>
        <w:pStyle w:val="ListBullet"/>
        <w:ind w:left="360" w:hanging="360"/>
      </w:pPr>
      <w:r>
        <w:rPr>
          <w:rFonts w:ascii="Calibri" w:hAnsi="Calibri"/>
          <w:color w:val="525866"/>
          <w:sz w:val="22"/>
        </w:rPr>
        <w:t xml:space="preserve">SJM flagged </w:t>
      </w:r>
      <w:r>
        <w:rPr>
          <w:rFonts w:ascii="Calibri" w:hAnsi="Calibri"/>
          <w:b/>
          <w:color w:val="525866"/>
          <w:sz w:val="22"/>
        </w:rPr>
        <w:t>cost inflation of low single digits</w:t>
      </w:r>
      <w:r>
        <w:rPr>
          <w:rFonts w:ascii="Calibri" w:hAnsi="Calibri"/>
          <w:color w:val="525866"/>
          <w:sz w:val="22"/>
        </w:rPr>
        <w:t xml:space="preserve"> across its portfolio (ex-coffee), primarily from packaging, ingredients, and transportation, driven by Middle East geopolitical tensions — consistent with KHC’s inflation backdrop.</w:t>
      </w:r>
    </w:p>
    <w:p>
      <w:pPr>
        <w:pStyle w:val="ListBullet"/>
        <w:ind w:left="360" w:hanging="360"/>
      </w:pPr>
      <w:r>
        <w:rPr>
          <w:rFonts w:ascii="Calibri" w:hAnsi="Calibri"/>
          <w:color w:val="525866"/>
          <w:sz w:val="22"/>
        </w:rPr>
        <w:t xml:space="preserve">The competitive environment in SJM’s categories is described as </w:t>
      </w:r>
      <w:r>
        <w:rPr>
          <w:rFonts w:ascii="Calibri" w:hAnsi="Calibri"/>
          <w:b/>
          <w:color w:val="525866"/>
          <w:sz w:val="22"/>
        </w:rPr>
        <w:t>"mostly rational"</w:t>
      </w:r>
      <w:r>
        <w:rPr>
          <w:rFonts w:ascii="Calibri" w:hAnsi="Calibri"/>
          <w:color w:val="525866"/>
          <w:sz w:val="22"/>
        </w:rPr>
        <w:t xml:space="preserve"> — a positive signal for KHC that the broader food promotional environment has not deteriorated into irrational price competition.</w:t>
      </w:r>
    </w:p>
    <w:p>
      <w:pPr>
        <w:pStyle w:val="ListBullet"/>
        <w:ind w:left="360" w:hanging="360"/>
      </w:pPr>
      <w:r>
        <w:rPr>
          <w:rFonts w:ascii="Calibri" w:hAnsi="Calibri"/>
          <w:color w:val="525866"/>
          <w:sz w:val="22"/>
        </w:rPr>
        <w:t xml:space="preserve">SJM is targeting marketing spend of </w:t>
      </w:r>
      <w:r>
        <w:rPr>
          <w:rFonts w:ascii="Calibri" w:hAnsi="Calibri"/>
          <w:b/>
          <w:color w:val="525866"/>
          <w:sz w:val="22"/>
        </w:rPr>
        <w:t>~5.7% of net sales</w:t>
      </w:r>
      <w:r>
        <w:rPr>
          <w:rFonts w:ascii="Calibri" w:hAnsi="Calibri"/>
          <w:color w:val="525866"/>
          <w:sz w:val="22"/>
        </w:rPr>
        <w:t xml:space="preserve"> for the upcoming fiscal year — closely mirrors KHC’s own target of at least 5.5% of revenue, suggesting the industry is broadly increasing brand investment.</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the </w:t>
      </w:r>
      <w:r>
        <w:rPr>
          <w:rFonts w:ascii="Calibri" w:hAnsi="Calibri"/>
          <w:b/>
          <w:color w:val="525866"/>
          <w:sz w:val="22"/>
        </w:rPr>
        <w:t>departure of the Chief Omnichannel Sales Officer</w:t>
      </w:r>
      <w:r>
        <w:rPr>
          <w:rFonts w:ascii="Calibri" w:hAnsi="Calibri"/>
          <w:color w:val="525866"/>
          <w:sz w:val="22"/>
        </w:rPr>
        <w:t xml:space="preserve"> (effective June 30), which introduces execution risk at a critical juncture when KHC is ramping its $600M commercial investment. The </w:t>
      </w:r>
      <w:r>
        <w:rPr>
          <w:rFonts w:ascii="Calibri" w:hAnsi="Calibri"/>
          <w:b/>
          <w:color w:val="525866"/>
          <w:sz w:val="22"/>
        </w:rPr>
        <w:t>CEO’s open-market purchase of ~$4.9M</w:t>
      </w:r>
      <w:r>
        <w:rPr>
          <w:rFonts w:ascii="Calibri" w:hAnsi="Calibri"/>
          <w:color w:val="525866"/>
          <w:sz w:val="22"/>
        </w:rPr>
        <w:t xml:space="preserve"> and the Eurobond issuance are the most positive signals.</w:t>
      </w:r>
    </w:p>
    <w:p>
      <w:pPr>
        <w:pStyle w:val="ListBullet"/>
        <w:ind w:left="360" w:hanging="360"/>
      </w:pPr>
      <w:r>
        <w:rPr>
          <w:rFonts w:ascii="Calibri" w:hAnsi="Calibri"/>
          <w:b/>
          <w:color w:val="525866"/>
          <w:sz w:val="22"/>
        </w:rPr>
        <w:t>May 12, 2026 — CEO Open-Market Share Purchase:</w:t>
      </w:r>
      <w:r>
        <w:rPr>
          <w:rFonts w:ascii="Calibri" w:hAnsi="Calibri"/>
          <w:color w:val="525866"/>
          <w:sz w:val="22"/>
        </w:rPr>
        <w:t xml:space="preserve"> CEO Steven Cahillane purchased 213,106 shares at ~$23.18/share (~$4.9M) in the open market — the largest insider buy in recent KHC history. A strong signal of management conviction in the turnaround at a time when the stock was near multi-year lows. Disclosed via Form 4 filed May 13, 2026.</w:t>
      </w:r>
    </w:p>
    <w:p>
      <w:pPr>
        <w:pStyle w:val="ListBullet"/>
        <w:ind w:left="360" w:hanging="360"/>
      </w:pPr>
      <w:r>
        <w:rPr>
          <w:rFonts w:ascii="Calibri" w:hAnsi="Calibri"/>
          <w:b/>
          <w:color w:val="525866"/>
          <w:sz w:val="22"/>
        </w:rPr>
        <w:t>May 12, 2026 — EUR €1 Billion Eurobond Offering:</w:t>
      </w:r>
      <w:r>
        <w:rPr>
          <w:rFonts w:ascii="Calibri" w:hAnsi="Calibri"/>
          <w:color w:val="525866"/>
          <w:sz w:val="22"/>
        </w:rPr>
        <w:t xml:space="preserve"> KHC subsidiary launched a €1 billion senior notes offering that was oversubscribed. Proceeds used to refinance more expensive existing debt, generating ~$300M in interest expense savings over 10 years. A meaningful balance sheet optimization. Disclosed via 8-K filed May 12, 2026.</w:t>
      </w:r>
    </w:p>
    <w:p>
      <w:pPr>
        <w:pStyle w:val="ListBullet"/>
        <w:ind w:left="360" w:hanging="360"/>
      </w:pPr>
      <w:r>
        <w:rPr>
          <w:rFonts w:ascii="Calibri" w:hAnsi="Calibri"/>
          <w:b/>
          <w:color w:val="525866"/>
          <w:sz w:val="22"/>
        </w:rPr>
        <w:t>May 7, 2026 — $1.1 Billion Debt Tender Offer:</w:t>
      </w:r>
      <w:r>
        <w:rPr>
          <w:rFonts w:ascii="Calibri" w:hAnsi="Calibri"/>
          <w:color w:val="525866"/>
          <w:sz w:val="22"/>
        </w:rPr>
        <w:t xml:space="preserve"> KHC launched a $1.1 billion debt tender offer to pay down near-term maturities. Combined with the Eurobond, this represents a significant balance sheet optimization that reduces interest expense and extends the maturity profile. Disclosed via 8-K filed May 7, 2026.</w:t>
      </w:r>
    </w:p>
    <w:p>
      <w:pPr>
        <w:pStyle w:val="ListBullet"/>
        <w:ind w:left="360" w:hanging="360"/>
      </w:pPr>
      <w:r>
        <w:rPr>
          <w:rFonts w:ascii="Calibri" w:hAnsi="Calibri"/>
          <w:b/>
          <w:color w:val="525866"/>
          <w:sz w:val="22"/>
        </w:rPr>
        <w:t>June 3, 2026 — Deutsche Bank Global Consumer Conference:</w:t>
      </w:r>
      <w:r>
        <w:rPr>
          <w:rFonts w:ascii="Calibri" w:hAnsi="Calibri"/>
          <w:color w:val="525866"/>
          <w:sz w:val="22"/>
        </w:rPr>
        <w:t xml:space="preserve"> CEO Cahillane reaffirmed the turnaround thesis and framed the $600M investment as a floor rather than a ceiling. Key incremental disclosure: Taste Elevation market share held near 70% over the last 13 weeks, and the company is "strongly considering" prepaying part of the $1.9B 2027 debt maturity. No formal guidance changes.</w:t>
      </w:r>
    </w:p>
    <w:p>
      <w:pPr>
        <w:pStyle w:val="ListBullet"/>
        <w:ind w:left="360" w:hanging="360"/>
      </w:pPr>
      <w:r>
        <w:rPr>
          <w:rFonts w:ascii="Calibri" w:hAnsi="Calibri"/>
          <w:b/>
          <w:color w:val="525866"/>
          <w:sz w:val="22"/>
        </w:rPr>
        <w:t>June 18, 2026 (effective June 30) — Chief Omnichannel Sales Officer Departure:</w:t>
      </w:r>
      <w:r>
        <w:rPr>
          <w:rFonts w:ascii="Calibri" w:hAnsi="Calibri"/>
          <w:color w:val="525866"/>
          <w:sz w:val="22"/>
        </w:rPr>
        <w:t xml:space="preserve"> Cory Onell, EVP and Chief Omnichannel Sales and Asia Emerging Markets Officer, announced his departure to pursue other opportunities. He will remain as an advisor until March 15, 2027. This is a notable </w:t>
      </w:r>
      <w:r>
        <w:rPr>
          <w:rFonts w:ascii="Calibri" w:hAnsi="Calibri"/>
          <w:b/>
          <w:color w:val="525866"/>
          <w:sz w:val="22"/>
        </w:rPr>
        <w:t>execution risk</w:t>
      </w:r>
      <w:r>
        <w:rPr>
          <w:rFonts w:ascii="Calibri" w:hAnsi="Calibri"/>
          <w:color w:val="525866"/>
          <w:sz w:val="22"/>
        </w:rPr>
        <w:t xml:space="preserve"> — Onell oversaw the commercial sales function at a critical time when KHC is deploying its $600M investment and rebuilding retailer relationships. Disclosed via 8-K filed June 18, 2026.</w:t>
      </w:r>
    </w:p>
    <w:p>
      <w:pPr>
        <w:pStyle w:val="ListBullet"/>
        <w:ind w:left="360" w:hanging="360"/>
      </w:pPr>
      <w:r>
        <w:rPr>
          <w:rFonts w:ascii="Calibri" w:hAnsi="Calibri"/>
          <w:b/>
          <w:color w:val="525866"/>
          <w:sz w:val="22"/>
        </w:rPr>
        <w:t>July 22, 2026 — By-Laws Amendment:</w:t>
      </w:r>
      <w:r>
        <w:rPr>
          <w:rFonts w:ascii="Calibri" w:hAnsi="Calibri"/>
          <w:color w:val="525866"/>
          <w:sz w:val="22"/>
        </w:rPr>
        <w:t xml:space="preserve"> KHC amended its By-Laws, tightening shareholder proposal rules and designating federal district courts as the exclusive forum for Securities Act claims. The amendments also increase the maximum proxy duration from 11 months to 3 years. Governance-related; no direct financial impact. Disclosed via 8-K filed July 27, 2026.</w:t>
      </w:r>
    </w:p>
    <w:p>
      <w:pPr>
        <w:pStyle w:val="ListBullet"/>
        <w:ind w:left="360" w:hanging="360"/>
      </w:pPr>
      <w:r>
        <w:rPr>
          <w:rFonts w:ascii="Calibri" w:hAnsi="Calibri"/>
          <w:b/>
          <w:color w:val="525866"/>
          <w:sz w:val="22"/>
        </w:rPr>
        <w:t>August 5, 2026 — Q2 2026 Earnings Scheduled:</w:t>
      </w:r>
      <w:r>
        <w:rPr>
          <w:rFonts w:ascii="Calibri" w:hAnsi="Calibri"/>
          <w:color w:val="525866"/>
          <w:sz w:val="22"/>
        </w:rPr>
        <w:t xml:space="preserve"> KHC is scheduled to report Q2 2026 results. Announced via press release July 13,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The standout signal is CEO Cahillane’s </w:t>
      </w:r>
      <w:r>
        <w:rPr>
          <w:rFonts w:ascii="Calibri" w:hAnsi="Calibri"/>
          <w:b/>
          <w:color w:val="525866"/>
          <w:sz w:val="22"/>
        </w:rPr>
        <w:t>open-market purchase of 213,106 shares (~$4.9M)</w:t>
      </w:r>
      <w:r>
        <w:rPr>
          <w:rFonts w:ascii="Calibri" w:hAnsi="Calibri"/>
          <w:color w:val="525866"/>
          <w:sz w:val="22"/>
        </w:rPr>
        <w:t xml:space="preserve"> on May 12, 2026 — a discretionary buy at multi-year lows that is the strongest insider signal in recent KHC history. Multiple directors also received routine equity awards. One discretionary sale by the Chief Growth Officer in June is worth noting but is not alarming given the CEO’s concurrent conviction buy.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 (approx.)</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Disclosed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Steven A. Cahillane</w:t>
            </w:r>
          </w:p>
        </w:tc>
        <w:tc>
          <w:tcPr>
            <w:tcW w:type="dxa" w:w="1234"/>
          </w:tcPr>
          <w:p>
            <w:r>
              <w:rPr>
                <w:rFonts w:ascii="Calibri" w:hAnsi="Calibri"/>
                <w:sz w:val="22"/>
              </w:rPr>
              <w:t>CEO &amp; Director</w:t>
            </w:r>
          </w:p>
        </w:tc>
        <w:tc>
          <w:tcPr>
            <w:tcW w:type="dxa" w:w="1234"/>
          </w:tcPr>
          <w:p>
            <w:r>
              <w:rPr>
                <w:rFonts w:ascii="Calibri" w:hAnsi="Calibri"/>
                <w:b/>
                <w:color w:val="30A46C"/>
                <w:sz w:val="22"/>
              </w:rPr>
              <w:t>Open Market Buy</w:t>
            </w:r>
          </w:p>
        </w:tc>
        <w:tc>
          <w:tcPr>
            <w:tcW w:type="dxa" w:w="1234"/>
          </w:tcPr>
          <w:p>
            <w:r>
              <w:rPr>
                <w:rFonts w:ascii="Calibri" w:hAnsi="Calibri"/>
                <w:sz w:val="22"/>
              </w:rPr>
              <w:t>~$4.9M (213,106 shares)</w:t>
            </w:r>
          </w:p>
        </w:tc>
        <w:tc>
          <w:tcPr>
            <w:tcW w:type="dxa" w:w="1234"/>
          </w:tcPr>
          <w:p>
            <w:r>
              <w:rPr>
                <w:rFonts w:ascii="Calibri" w:hAnsi="Calibri"/>
                <w:sz w:val="22"/>
              </w:rPr>
              <w:t>May 12, 2026</w:t>
            </w:r>
          </w:p>
        </w:tc>
        <w:tc>
          <w:tcPr>
            <w:tcW w:type="dxa" w:w="1234"/>
          </w:tcPr>
          <w:p>
            <w:r>
              <w:rPr>
                <w:rFonts w:ascii="Calibri" w:hAnsi="Calibri"/>
                <w:sz w:val="22"/>
              </w:rPr>
              <w:t>May 13, 2026</w:t>
            </w:r>
          </w:p>
        </w:tc>
        <w:tc>
          <w:tcPr>
            <w:tcW w:type="dxa" w:w="1234"/>
          </w:tcPr>
          <w:p>
            <w:r>
              <w:rPr>
                <w:rFonts w:ascii="Calibri" w:hAnsi="Calibri"/>
                <w:sz w:val="22"/>
              </w:rPr>
              <w:t>Discretionary; largest insider buy in recent history; strong conviction signal at multi-year lows</w:t>
            </w:r>
          </w:p>
        </w:tc>
      </w:tr>
      <w:tr>
        <w:tc>
          <w:tcPr>
            <w:tcW w:type="dxa" w:w="1234"/>
          </w:tcPr>
          <w:p>
            <w:r>
              <w:rPr>
                <w:rFonts w:ascii="Calibri" w:hAnsi="Calibri"/>
                <w:sz w:val="22"/>
              </w:rPr>
              <w:t>Diana Frost</w:t>
            </w:r>
          </w:p>
        </w:tc>
        <w:tc>
          <w:tcPr>
            <w:tcW w:type="dxa" w:w="1234"/>
          </w:tcPr>
          <w:p>
            <w:r>
              <w:rPr>
                <w:rFonts w:ascii="Calibri" w:hAnsi="Calibri"/>
                <w:sz w:val="22"/>
              </w:rPr>
              <w:t>Global Chief Growth Officer</w:t>
            </w:r>
          </w:p>
        </w:tc>
        <w:tc>
          <w:tcPr>
            <w:tcW w:type="dxa" w:w="1234"/>
          </w:tcPr>
          <w:p>
            <w:r>
              <w:rPr>
                <w:rFonts w:ascii="Calibri" w:hAnsi="Calibri"/>
                <w:b/>
                <w:color w:val="E5484D"/>
                <w:sz w:val="22"/>
              </w:rPr>
              <w:t>Open Market Sale</w:t>
            </w:r>
          </w:p>
        </w:tc>
        <w:tc>
          <w:tcPr>
            <w:tcW w:type="dxa" w:w="1234"/>
          </w:tcPr>
          <w:p>
            <w:r>
              <w:rPr>
                <w:rFonts w:ascii="Calibri" w:hAnsi="Calibri"/>
                <w:sz w:val="22"/>
              </w:rPr>
              <w:t>~$0.4M (18,502 shares)</w:t>
            </w:r>
          </w:p>
        </w:tc>
        <w:tc>
          <w:tcPr>
            <w:tcW w:type="dxa" w:w="1234"/>
          </w:tcPr>
          <w:p>
            <w:r>
              <w:rPr>
                <w:rFonts w:ascii="Calibri" w:hAnsi="Calibri"/>
                <w:sz w:val="22"/>
              </w:rPr>
              <w:t>June 18, 2026</w:t>
            </w:r>
          </w:p>
        </w:tc>
        <w:tc>
          <w:tcPr>
            <w:tcW w:type="dxa" w:w="1234"/>
          </w:tcPr>
          <w:p>
            <w:r>
              <w:rPr>
                <w:rFonts w:ascii="Calibri" w:hAnsi="Calibri"/>
                <w:sz w:val="22"/>
              </w:rPr>
              <w:t>June 22, 2026</w:t>
            </w:r>
          </w:p>
        </w:tc>
        <w:tc>
          <w:tcPr>
            <w:tcW w:type="dxa" w:w="1234"/>
          </w:tcPr>
          <w:p>
            <w:r>
              <w:rPr>
                <w:rFonts w:ascii="Calibri" w:hAnsi="Calibri"/>
                <w:sz w:val="22"/>
              </w:rPr>
              <w:t>Discretionary; not on 10b5-1 plan; coincides with departure of Sales Chief</w:t>
            </w:r>
          </w:p>
        </w:tc>
      </w:tr>
      <w:tr>
        <w:tc>
          <w:tcPr>
            <w:tcW w:type="dxa" w:w="1234"/>
          </w:tcPr>
          <w:p>
            <w:r>
              <w:rPr>
                <w:rFonts w:ascii="Calibri" w:hAnsi="Calibri"/>
                <w:sz w:val="22"/>
              </w:rPr>
              <w:t>Humberto P. Alfonso</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11,155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John T. Cahill</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13,085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L. Kevin Cox</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7,937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Lori Dickerson Fouche</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7,937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Diane J. Gherson</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7,937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Mary Lou Kelley</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8,730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Anthony J. Palmer</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8,730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John C. Pope</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7,937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r>
        <w:tc>
          <w:tcPr>
            <w:tcW w:type="dxa" w:w="1234"/>
          </w:tcPr>
          <w:p>
            <w:r>
              <w:rPr>
                <w:rFonts w:ascii="Calibri" w:hAnsi="Calibri"/>
                <w:sz w:val="22"/>
              </w:rPr>
              <w:t>Elio Leoni Sceti</w:t>
            </w:r>
          </w:p>
        </w:tc>
        <w:tc>
          <w:tcPr>
            <w:tcW w:type="dxa" w:w="1234"/>
          </w:tcPr>
          <w:p>
            <w:r>
              <w:rPr>
                <w:rFonts w:ascii="Calibri" w:hAnsi="Calibri"/>
                <w:sz w:val="22"/>
              </w:rPr>
              <w:t>Director</w:t>
            </w:r>
          </w:p>
        </w:tc>
        <w:tc>
          <w:tcPr>
            <w:tcW w:type="dxa" w:w="1234"/>
          </w:tcPr>
          <w:p>
            <w:r>
              <w:rPr>
                <w:rFonts w:ascii="Calibri" w:hAnsi="Calibri"/>
                <w:sz w:val="22"/>
              </w:rPr>
              <w:t>Equity Award</w:t>
            </w:r>
          </w:p>
        </w:tc>
        <w:tc>
          <w:tcPr>
            <w:tcW w:type="dxa" w:w="1234"/>
          </w:tcPr>
          <w:p>
            <w:r>
              <w:rPr>
                <w:rFonts w:ascii="Calibri" w:hAnsi="Calibri"/>
                <w:sz w:val="22"/>
              </w:rPr>
              <w:t>11,155 shares</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w:t>
            </w:r>
          </w:p>
        </w:tc>
      </w:tr>
    </w:tbl>
    <w:p>
      <w:r>
        <w:rPr>
          <w:rFonts w:ascii="Calibri" w:hAnsi="Calibri"/>
          <w:i/>
          <w:color w:val="525866"/>
          <w:sz w:val="22"/>
        </w:rPr>
        <w:t>Source: SEC Form 4 filings. Open-market transactions only (Form 4 codes P/S). Equity awards are routine director compensation grants, not open-market purchases. Transaction effective dates reflect when trades were executed; disclosure dates reflect when Form 4 filings were made public with the SEC.</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