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im-earnings-predictions--2026-08-04"/>
    <w:p>
      <w:pPr>
        <w:pStyle w:val="Heading1"/>
      </w:pPr>
      <w:r>
        <w:t xml:space="preserve">KIM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~$0.45 vs. cons $0.45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Same-property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~+2.8% vs. cons ~+2.4%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Pro-rata leased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~96.4% vs. cons ~96.3%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1.82</m:t>
              </m:r>
              <m:r>
                <m:rPr>
                  <m:sty m:val="p"/>
                </m:rPr>
                <m:t>–</m:t>
              </m:r>
            </m:oMath>
            <w:r>
              <w:t xml:space="preserve">1.85 (raise low end/midpoint ~$1.835) vs. cons $1.83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~+2.8% to +3.5% (mid ~3.15%) vs. cons ~+3.0%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credit-loss assumption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tighten toward ~60–85 bps vs. cons ~75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transaction/structured-investment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~$300–500M net-neutral +</w:t>
            </w:r>
            <w:r>
              <w:t xml:space="preserve"> </w:t>
            </w:r>
            <m:oMath>
              <m:r>
                <m:t>75</m:t>
              </m:r>
              <m:r>
                <m:rPr>
                  <m:sty m:val="p"/>
                </m:rPr>
                <m:t>–</m:t>
              </m:r>
              <m:r>
                <m:t>125</m:t>
              </m:r>
              <m:r>
                <m:t>M</m:t>
              </m:r>
              <m:r>
                <m:t>s</m:t>
              </m:r>
              <m:r>
                <m:t>t</m:t>
              </m:r>
              <m:r>
                <m:t>r</m:t>
              </m:r>
              <m:r>
                <m:t>u</m:t>
              </m:r>
              <m:r>
                <m:t>c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(FY2026 H2-weighted)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-1.7% (FADE)</w:t>
            </w:r>
          </w:p>
        </w:tc>
        <w:tc>
          <w:tcPr/>
          <w:p>
            <w:pPr>
              <w:pStyle w:val="Compact"/>
            </w:pPr>
            <w:r>
              <w:t xml:space="preserve">Stock is up ~27% YTD and sits just below its 2026 high (~</w:t>
            </w:r>
            <m:oMath>
              <m:r>
                <m:t>26.38</m:t>
              </m:r>
              <m:r>
                <m:t>o</m:t>
              </m:r>
              <m:r>
                <m:t>n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27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t</m:t>
              </m:r>
              <m:r>
                <m:t> </m:t>
              </m:r>
              <m:r>
                <m:t>14</m:t>
              </m:r>
              <m:r>
                <m:t>x</m:t>
              </m:r>
              <m:r>
                <m:t>F</m:t>
              </m:r>
              <m:r>
                <m:t>F</m:t>
              </m:r>
              <m:r>
                <m:t>O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i</m:t>
              </m:r>
              <m:r>
                <m:t>s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.</m:t>
              </m:r>
              <m:r>
                <m:t>Q</m:t>
              </m:r>
              <m:sSup>
                <m:e>
                  <m:r>
                    <m:t>1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o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i</m:t>
              </m:r>
              <m:r>
                <m:t>m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l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7M accelerated below-market rent, front-loaded % rent, shifted G&amp;A) reverse, making headline Q2 FFO look optically flatter (~$0.44–0.45 vs. $0.46 in Q1); even a clean SP-NOI step-up to high-2s reads as 'in-line with the promised ramp' rather than a positive surprise. Out-period math: the FY guide only nudges higher (low-end raise), leaving 2027 estimates roughly unchanged, so there is little upward revision fuel to sustain a pop. Expect an initial muted-to-negative reaction that fades over the week as 'sell-the-news' into stretched valuation and lack of estimate upside dominate; downside cushioned by fortress balance sheet and refinancing already de-risked.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2026-08-04T00:30:09Z</dcterms:created>
  <dcterms:modified xsi:type="dcterms:W3CDTF">2026-08-04T00:30:09Z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