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KIM (Kimco Realty) before writing the preview. Let me gather recent earnings materials, filings, and news.Let me read the most recent Q1 2026 earnings materials and check for recent news/filings.Let me check recent stock price performance and any news/filings leading into the print.Let me check for recent news/context and peer read-throughs going into the print.I have what I need. Here's the earnings preview.</w:t>
      </w:r>
    </w:p>
    <w:p>
      <w:r>
        <w:pict>
          <v:rect style="width:0;height:1.5pt" o:hralign="center" o:hrstd="t" o:hr="t"/>
        </w:pict>
      </w:r>
    </w:p>
    <w:bookmarkStart w:id="19" w:name="X2b07c38d307883374df47286f7300f97fcc636f"/>
    <w:p>
      <w:pPr>
        <w:pStyle w:val="Heading1"/>
      </w:pPr>
      <w:r>
        <w:t xml:space="preserve">Kimco Realty (NYSE: KIM) — Q2 2026 Earnings Preview</w:t>
      </w:r>
    </w:p>
    <w:p>
      <w:pPr>
        <w:pStyle w:val="FirstParagraph"/>
      </w:pPr>
      <w:r>
        <w:rPr>
          <w:b/>
          <w:bCs/>
        </w:rPr>
        <w:t xml:space="preserve">Report date:</w:t>
      </w:r>
      <w:r>
        <w:t xml:space="preserve"> </w:t>
      </w:r>
      <w:r>
        <w:t xml:space="preserve">Tuesday, August 4, 2026 (2026Q2 Earnings Call) · Last price (8/3/26):</w:t>
      </w:r>
      <w:r>
        <w:t xml:space="preserve"> </w:t>
      </w:r>
      <w:r>
        <w:rPr>
          <w:b/>
          <w:bCs/>
        </w:rPr>
        <w:t xml:space="preserve">$25.42</w:t>
      </w:r>
    </w:p>
    <w:bookmarkStart w:id="9" w:name="the-setup"/>
    <w:p>
      <w:pPr>
        <w:pStyle w:val="Heading2"/>
      </w:pPr>
      <w:r>
        <w:t xml:space="preserve">The setup</w:t>
      </w:r>
    </w:p>
    <w:p>
      <w:pPr>
        <w:pStyle w:val="FirstParagraph"/>
      </w:pPr>
      <w:r>
        <w:t xml:space="preserve">Kimco heads into its Q2 print with momentum and elevated expectations. The stock has run from ~</w:t>
      </w:r>
      <m:oMath>
        <m:r>
          <m:t>20</m:t>
        </m:r>
        <m:r>
          <m:t>a</m:t>
        </m:r>
        <m:r>
          <m:t>t</m:t>
        </m:r>
        <m:r>
          <m:t>t</m:t>
        </m:r>
        <m:r>
          <m:t>h</m:t>
        </m:r>
        <m:r>
          <m:t>e</m:t>
        </m:r>
        <m:r>
          <m:t>s</m:t>
        </m:r>
        <m:r>
          <m:t>t</m:t>
        </m:r>
        <m:r>
          <m:t>a</m:t>
        </m:r>
        <m:r>
          <m:t>r</m:t>
        </m:r>
        <m:r>
          <m:t>t</m:t>
        </m:r>
        <m:r>
          <m:t>o</m:t>
        </m:r>
        <m:r>
          <m:t>f</m:t>
        </m:r>
        <m:r>
          <m:t>t</m:t>
        </m:r>
        <m:r>
          <m:t>h</m:t>
        </m:r>
        <m:r>
          <m:t>e</m:t>
        </m:r>
        <m:r>
          <m:t>y</m:t>
        </m:r>
        <m:r>
          <m:t>e</m:t>
        </m:r>
        <m:r>
          <m:t>a</m:t>
        </m:r>
        <m:r>
          <m:t>r</m:t>
        </m:r>
        <m:r>
          <m:t>t</m:t>
        </m:r>
        <m:r>
          <m:t>o</m:t>
        </m:r>
        <m:r>
          <m:t> </m:t>
        </m:r>
      </m:oMath>
      <w:r>
        <w:t xml:space="preserve">25.42, up roughly</w:t>
      </w:r>
      <w:r>
        <w:t xml:space="preserve"> </w:t>
      </w:r>
      <w:r>
        <w:rPr>
          <w:b/>
          <w:bCs/>
        </w:rPr>
        <w:t xml:space="preserve">27% YTD</w:t>
      </w:r>
      <w:r>
        <w:t xml:space="preserve">, outpacing shopping-center peers Regency (REG, +18%) and Federal Realty (FRT, +25%) over the same span. Shares hit a 2026 high of ~</w:t>
      </w:r>
      <m:oMath>
        <m:r>
          <m:t>26.38</m:t>
        </m:r>
        <m:r>
          <m:t>o</m:t>
        </m:r>
        <m:r>
          <m:t>n</m:t>
        </m:r>
        <m:r>
          <m:t>J</m:t>
        </m:r>
        <m:r>
          <m:t>u</m:t>
        </m:r>
        <m:r>
          <m:t>l</m:t>
        </m:r>
        <m:r>
          <m:t>y</m:t>
        </m:r>
        <m:r>
          <m:t>27</m:t>
        </m:r>
        <m:r>
          <m:t>b</m:t>
        </m:r>
        <m:r>
          <m:t>e</m:t>
        </m:r>
        <m:r>
          <m:t>f</m:t>
        </m:r>
        <m:r>
          <m:t>o</m:t>
        </m:r>
        <m:r>
          <m:t>r</m:t>
        </m:r>
        <m:r>
          <m:t>e</m:t>
        </m:r>
        <m:r>
          <m:t>e</m:t>
        </m:r>
        <m:r>
          <m:t>a</m:t>
        </m:r>
        <m:r>
          <m:t>s</m:t>
        </m:r>
        <m:r>
          <m:t>i</m:t>
        </m:r>
        <m:r>
          <m:t>n</m:t>
        </m:r>
        <m:r>
          <m:t>g</m:t>
        </m:r>
        <m:r>
          <m:t>a</m:t>
        </m:r>
        <m:r>
          <m:t>b</m:t>
        </m:r>
        <m:r>
          <m:t>o</m:t>
        </m:r>
        <m:r>
          <m:t>u</m:t>
        </m:r>
        <m:r>
          <m:t>t</m:t>
        </m:r>
        <m:r>
          <m:t>4</m:t>
        </m:r>
      </m:oMath>
      <w:r>
        <w:t xml:space="preserve">1.82 FFO), KIM trades around</w:t>
      </w:r>
      <w:r>
        <w:t xml:space="preserve"> </w:t>
      </w:r>
      <w:r>
        <w:rPr>
          <w:b/>
          <w:bCs/>
        </w:rPr>
        <w:t xml:space="preserve">14x FFO / ~7.2% FFO yield</w:t>
      </w:r>
      <w:r>
        <w:t xml:space="preserve">, a level management continues to frame as a discount to both peers and private-market value.</w:t>
      </w:r>
    </w:p>
    <w:p>
      <w:pPr>
        <w:pStyle w:val="BodyText"/>
      </w:pPr>
      <w:r>
        <w:t xml:space="preserve">The Q1 report (April 30) was a clean beat-and-raise, so the key question Tuesday is whether the operating acceleration management promised for the back half of 2026 is showing up on schedule.</w:t>
      </w:r>
    </w:p>
    <w:bookmarkEnd w:id="9"/>
    <w:bookmarkStart w:id="17" w:name="what-to-watch"/>
    <w:p>
      <w:pPr>
        <w:pStyle w:val="Heading2"/>
      </w:pPr>
      <w:r>
        <w:t xml:space="preserve">What to watch</w:t>
      </w:r>
    </w:p>
    <w:bookmarkStart w:id="10" w:name="X4577fbbb63f75f43825886cba1da60d31912450"/>
    <w:p>
      <w:pPr>
        <w:pStyle w:val="Heading3"/>
      </w:pPr>
      <w:r>
        <w:t xml:space="preserve">1. FFO and the guidance trajectory</w:t>
      </w:r>
    </w:p>
    <w:p>
      <w:pPr>
        <w:pStyle w:val="Compact"/>
        <w:numPr>
          <w:ilvl w:val="0"/>
          <w:numId w:val="1001"/>
        </w:numPr>
      </w:pPr>
      <w:r>
        <w:t xml:space="preserve">Q1 2026 FFO was</w:t>
      </w:r>
      <w:r>
        <w:t xml:space="preserve"> </w:t>
      </w:r>
      <w:r>
        <w:rPr>
          <w:b/>
          <w:bCs/>
        </w:rPr>
        <w:t xml:space="preserve">$0.46/share (+4.5% YoY)</w:t>
      </w:r>
      <w:r>
        <w:t xml:space="preserve">, and management</w:t>
      </w:r>
      <w:r>
        <w:t xml:space="preserve"> </w:t>
      </w:r>
      <w:r>
        <w:rPr>
          <w:b/>
          <w:bCs/>
        </w:rPr>
        <w:t xml:space="preserve">tightened full-year FFO guidance to</w:t>
      </w:r>
      <w:r>
        <w:rPr>
          <w:b/>
          <w:bCs/>
        </w:rPr>
        <w:t xml:space="preserve"> </w:t>
      </w:r>
      <m:oMath>
        <m:r>
          <m:t>1.81</m:t>
        </m:r>
        <m:r>
          <m:rPr>
            <m:sty m:val="p"/>
          </m:rPr>
          <m:t>–</m:t>
        </m:r>
      </m:oMath>
      <w:r>
        <w:rPr>
          <w:b/>
          <w:bCs/>
        </w:rPr>
        <w:t xml:space="preserve">1.84</w:t>
      </w:r>
      <w:r>
        <w:t xml:space="preserve"> </w:t>
      </w:r>
      <w:r>
        <w:t xml:space="preserve">(from</w:t>
      </w:r>
      <w:r>
        <w:t xml:space="preserve"> </w:t>
      </w:r>
      <m:oMath>
        <m:r>
          <m:t>1.80</m:t>
        </m:r>
        <m:r>
          <m:rPr>
            <m:sty m:val="p"/>
          </m:rPr>
          <m:t>–</m:t>
        </m:r>
      </m:oMath>
      <w:r>
        <w:t xml:space="preserve">1.84), effectively raising the low end.</w:t>
      </w:r>
    </w:p>
    <w:p>
      <w:pPr>
        <w:pStyle w:val="Compact"/>
        <w:numPr>
          <w:ilvl w:val="0"/>
          <w:numId w:val="1001"/>
        </w:numPr>
      </w:pPr>
      <w:r>
        <w:t xml:space="preserve">Remember Q1 carried several</w:t>
      </w:r>
      <w:r>
        <w:t xml:space="preserve"> </w:t>
      </w:r>
      <w:r>
        <w:rPr>
          <w:b/>
          <w:bCs/>
        </w:rPr>
        <w:t xml:space="preserve">one-time tailwinds that reverse</w:t>
      </w:r>
      <w:r>
        <w:t xml:space="preserve">: ~</w:t>
      </w:r>
      <m:oMath>
        <m:r>
          <m:t>7</m:t>
        </m:r>
        <m:r>
          <m:t>M</m:t>
        </m:r>
        <m:r>
          <m:t>o</m:t>
        </m:r>
        <m:r>
          <m:t>f</m:t>
        </m:r>
        <m:r>
          <m:t>n</m:t>
        </m:r>
        <m:r>
          <m:t>o</m:t>
        </m:r>
        <m:r>
          <m:t>n</m:t>
        </m:r>
        <m:r>
          <m:rPr>
            <m:sty m:val="p"/>
          </m:rPr>
          <m:t>−</m:t>
        </m:r>
        <m:r>
          <m:t>c</m:t>
        </m:r>
        <m:r>
          <m:t>a</m:t>
        </m:r>
        <m:r>
          <m:t>s</m:t>
        </m:r>
        <m:r>
          <m:t>h</m:t>
        </m:r>
        <m:r>
          <m:t>a</m:t>
        </m:r>
        <m:r>
          <m:t>c</m:t>
        </m:r>
        <m:r>
          <m:t>c</m:t>
        </m:r>
        <m:r>
          <m:t>e</m:t>
        </m:r>
        <m:r>
          <m:t>l</m:t>
        </m:r>
        <m:r>
          <m:t>e</m:t>
        </m:r>
        <m:r>
          <m:t>r</m:t>
        </m:r>
        <m:r>
          <m:t>a</m:t>
        </m:r>
        <m:r>
          <m:t>t</m:t>
        </m:r>
        <m:r>
          <m:t>e</m:t>
        </m:r>
        <m:r>
          <m:t>d</m:t>
        </m:r>
        <m:r>
          <m:t>b</m:t>
        </m:r>
        <m:r>
          <m:t>e</m:t>
        </m:r>
        <m:r>
          <m:t>l</m:t>
        </m:r>
        <m:r>
          <m:t>o</m:t>
        </m:r>
        <m:r>
          <m:t>w</m:t>
        </m:r>
        <m:r>
          <m:rPr>
            <m:sty m:val="p"/>
          </m:rPr>
          <m:t>−</m:t>
        </m:r>
        <m:r>
          <m:t>m</m:t>
        </m:r>
        <m:r>
          <m:t>a</m:t>
        </m:r>
        <m:r>
          <m:t>r</m:t>
        </m:r>
        <m:r>
          <m:t>k</m:t>
        </m:r>
        <m:r>
          <m:t>e</m:t>
        </m:r>
        <m:r>
          <m:t>t</m:t>
        </m:r>
        <m:r>
          <m:t>r</m:t>
        </m:r>
        <m:r>
          <m:t>e</m:t>
        </m:r>
        <m:r>
          <m:t>n</m:t>
        </m:r>
        <m:r>
          <m:t>t</m:t>
        </m:r>
        <m:r>
          <m:t>f</m:t>
        </m:r>
        <m:r>
          <m:t>r</m:t>
        </m:r>
        <m:r>
          <m:t>o</m:t>
        </m:r>
        <m:r>
          <m:t>m</m:t>
        </m:r>
        <m:r>
          <m:t>e</m:t>
        </m:r>
        <m:r>
          <m:t>a</m:t>
        </m:r>
        <m:r>
          <m:t>r</m:t>
        </m:r>
        <m:r>
          <m:t>l</m:t>
        </m:r>
        <m:r>
          <m:t>y</m:t>
        </m:r>
        <m:r>
          <m:t>l</m:t>
        </m:r>
        <m:r>
          <m:t>e</m:t>
        </m:r>
        <m:r>
          <m:t>a</m:t>
        </m:r>
        <m:r>
          <m:t>s</m:t>
        </m:r>
        <m:r>
          <m:t>e</m:t>
        </m:r>
        <m:r>
          <m:t>r</m:t>
        </m:r>
        <m:r>
          <m:t>e</m:t>
        </m:r>
        <m:r>
          <m:t>c</m:t>
        </m:r>
        <m:r>
          <m:t>a</m:t>
        </m:r>
        <m:r>
          <m:t>p</m:t>
        </m:r>
        <m:r>
          <m:t>t</m:t>
        </m:r>
        <m:r>
          <m:t>u</m:t>
        </m:r>
        <m:r>
          <m:t>r</m:t>
        </m:r>
        <m:r>
          <m:t>e</m:t>
        </m:r>
        <m:r>
          <m:t>s</m:t>
        </m:r>
        <m:r>
          <m:rPr>
            <m:sty m:val="p"/>
          </m:rPr>
          <m:t>,</m:t>
        </m:r>
        <m:r>
          <m:t>s</m:t>
        </m:r>
        <m:r>
          <m:t>e</m:t>
        </m:r>
        <m:r>
          <m:t>a</m:t>
        </m:r>
        <m:r>
          <m:t>s</m:t>
        </m:r>
        <m:r>
          <m:t>o</m:t>
        </m:r>
        <m:r>
          <m:t>n</m:t>
        </m:r>
        <m:r>
          <m:t>a</m:t>
        </m:r>
        <m:r>
          <m:t>l</m:t>
        </m:r>
        <m:r>
          <m:t>l</m:t>
        </m:r>
        <m:r>
          <m:t>y</m:t>
        </m:r>
        <m:r>
          <m:t>f</m:t>
        </m:r>
        <m:r>
          <m:t>r</m:t>
        </m:r>
        <m:r>
          <m:t>o</m:t>
        </m:r>
        <m:r>
          <m:t>n</m:t>
        </m:r>
        <m:r>
          <m:t>t</m:t>
        </m:r>
        <m:r>
          <m:rPr>
            <m:sty m:val="p"/>
          </m:rPr>
          <m:t>−</m:t>
        </m:r>
        <m:r>
          <m:t>l</m:t>
        </m:r>
        <m:r>
          <m:t>o</m:t>
        </m:r>
        <m:r>
          <m:t>a</m:t>
        </m:r>
        <m:r>
          <m:t>d</m:t>
        </m:r>
        <m:r>
          <m:t>e</m:t>
        </m:r>
        <m:r>
          <m:t>d</m:t>
        </m:r>
        <m:r>
          <m:t>p</m:t>
        </m:r>
        <m:r>
          <m:t>e</m:t>
        </m:r>
        <m:r>
          <m:t>r</m:t>
        </m:r>
        <m:r>
          <m:t>c</m:t>
        </m:r>
        <m:r>
          <m:t>e</m:t>
        </m:r>
        <m:r>
          <m:t>n</m:t>
        </m:r>
        <m:r>
          <m:t>t</m:t>
        </m:r>
        <m:r>
          <m:t>a</m:t>
        </m:r>
        <m:r>
          <m:t>g</m:t>
        </m:r>
        <m:r>
          <m:t>e</m:t>
        </m:r>
        <m:r>
          <m:t>r</m:t>
        </m:r>
        <m:r>
          <m:t>e</m:t>
        </m:r>
        <m:r>
          <m:t>n</m:t>
        </m:r>
        <m:r>
          <m:t>t</m:t>
        </m:r>
        <m:r>
          <m:rPr>
            <m:sty m:val="p"/>
          </m:rPr>
          <m:t>,</m:t>
        </m:r>
        <m:r>
          <m:t>a</m:t>
        </m:r>
        <m:r>
          <m:t>n</m:t>
        </m:r>
        <m:r>
          <m:t>d</m:t>
        </m:r>
        <m:r>
          <m:t> </m:t>
        </m:r>
      </m:oMath>
      <w:r>
        <w:t xml:space="preserve">6M of elevated G&amp;A from a shifted equity-award grant. Management guided non-cash GAAP revenue back down to a "normal cadence" of ~</w:t>
      </w:r>
      <m:oMath>
        <m:r>
          <m:t>8</m:t>
        </m:r>
        <m:r>
          <m:rPr>
            <m:sty m:val="p"/>
          </m:rPr>
          <m:t>–</m:t>
        </m:r>
        <m:r>
          <m:t>10</m:t>
        </m:r>
        <m:r>
          <m:t>M</m:t>
        </m:r>
        <m:r>
          <m:rPr>
            <m:sty m:val="p"/>
          </m:rPr>
          <m:t>/</m:t>
        </m:r>
        <m:r>
          <m:t>q</m:t>
        </m:r>
        <m:r>
          <m:t>u</m:t>
        </m:r>
        <m:r>
          <m:t>a</m:t>
        </m:r>
        <m:r>
          <m:t>r</m:t>
        </m:r>
        <m:r>
          <m:t>t</m:t>
        </m:r>
        <m:r>
          <m:t>e</m:t>
        </m:r>
        <m:r>
          <m:t>r</m:t>
        </m:r>
        <m:r>
          <m:rPr>
            <m:sty m:val="p"/>
          </m:rPr>
          <m:t>.</m:t>
        </m:r>
        <m:r>
          <m:rPr>
            <m:sty m:val="p"/>
          </m:rPr>
          <m:t>*</m:t>
        </m:r>
        <m:r>
          <m:rPr>
            <m:sty m:val="p"/>
          </m:rPr>
          <m:t>*</m:t>
        </m:r>
        <m:r>
          <m:t>E</m:t>
        </m:r>
        <m:r>
          <m:t>x</m:t>
        </m:r>
        <m:r>
          <m:t>p</m:t>
        </m:r>
        <m:r>
          <m:t>e</m:t>
        </m:r>
        <m:r>
          <m:t>c</m:t>
        </m:r>
        <m:r>
          <m:t>t</m:t>
        </m:r>
        <m:r>
          <m:t>Q</m:t>
        </m:r>
        <m:r>
          <m:t>2</m:t>
        </m:r>
        <m:r>
          <m:t>F</m:t>
        </m:r>
        <m:r>
          <m:t>F</m:t>
        </m:r>
        <m:r>
          <m:t>O</m:t>
        </m:r>
        <m:r>
          <m:t>t</m:t>
        </m:r>
        <m:r>
          <m:t>o</m:t>
        </m:r>
        <m:r>
          <m:t>l</m:t>
        </m:r>
        <m:r>
          <m:t>o</m:t>
        </m:r>
        <m:r>
          <m:t>o</m:t>
        </m:r>
        <m:r>
          <m:t>k</m:t>
        </m:r>
        <m:r>
          <m:t>o</m:t>
        </m:r>
        <m:r>
          <m:t>p</m:t>
        </m:r>
        <m:r>
          <m:t>t</m:t>
        </m:r>
        <m:r>
          <m:t>i</m:t>
        </m:r>
        <m:r>
          <m:t>c</m:t>
        </m:r>
        <m:r>
          <m:t>a</m:t>
        </m:r>
        <m:r>
          <m:t>l</m:t>
        </m:r>
        <m:r>
          <m:t>l</m:t>
        </m:r>
        <m:r>
          <m:t>y</m:t>
        </m:r>
        <m:r>
          <m:t>f</m:t>
        </m:r>
        <m:r>
          <m:t>l</m:t>
        </m:r>
        <m:r>
          <m:t>a</m:t>
        </m:r>
        <m:r>
          <m:t>t</m:t>
        </m:r>
        <m:r>
          <m:t>t</m:t>
        </m:r>
        <m:r>
          <m:t>e</m:t>
        </m:r>
        <m:r>
          <m:t>r</m:t>
        </m:r>
        <m:r>
          <m:rPr>
            <m:sty m:val="p"/>
          </m:rPr>
          <m:t>(</m:t>
        </m:r>
        <m:r>
          <m:t> </m:t>
        </m:r>
      </m:oMath>
      <w:r>
        <w:t xml:space="preserve">0.44–0.45)** — that's the modeled path, not a miss.</w:t>
      </w:r>
    </w:p>
    <w:p>
      <w:pPr>
        <w:pStyle w:val="Compact"/>
        <w:numPr>
          <w:ilvl w:val="0"/>
          <w:numId w:val="1001"/>
        </w:numPr>
      </w:pPr>
      <w:r>
        <w:t xml:space="preserve">Watch for another guidance tightening/raise toward the high end given the setup. A move that doesn't nudge the range higher could disappoint given the stock's run.</w:t>
      </w:r>
    </w:p>
    <w:bookmarkEnd w:id="10"/>
    <w:bookmarkStart w:id="11" w:name="X4509f32aea84d81876b9641eac6ea70ba0583bf"/>
    <w:p>
      <w:pPr>
        <w:pStyle w:val="Heading3"/>
      </w:pPr>
      <w:r>
        <w:t xml:space="preserve">2. Same-property NOI acceleration (the whole thesis)</w:t>
      </w:r>
    </w:p>
    <w:p>
      <w:pPr>
        <w:pStyle w:val="Compact"/>
        <w:numPr>
          <w:ilvl w:val="0"/>
          <w:numId w:val="1002"/>
        </w:numPr>
      </w:pPr>
      <w:r>
        <w:t xml:space="preserve">Q1 SP-NOI was</w:t>
      </w:r>
      <w:r>
        <w:t xml:space="preserve"> </w:t>
      </w:r>
      <w:r>
        <w:rPr>
          <w:b/>
          <w:bCs/>
        </w:rPr>
        <w:t xml:space="preserve">+1.7%</w:t>
      </w:r>
      <w:r>
        <w:t xml:space="preserve">, which management explicitly called</w:t>
      </w:r>
      <w:r>
        <w:t xml:space="preserve"> </w:t>
      </w:r>
      <w:r>
        <w:rPr>
          <w:b/>
          <w:bCs/>
        </w:rPr>
        <w:t xml:space="preserve">the low point of the year</w:t>
      </w:r>
      <w:r>
        <w:t xml:space="preserve"> </w:t>
      </w:r>
      <w:r>
        <w:t xml:space="preserve">as they lapped JOANN's, Party City, Big Lots and Rite Aid.</w:t>
      </w:r>
    </w:p>
    <w:p>
      <w:pPr>
        <w:pStyle w:val="Compact"/>
        <w:numPr>
          <w:ilvl w:val="0"/>
          <w:numId w:val="1002"/>
        </w:numPr>
      </w:pPr>
      <w:r>
        <w:t xml:space="preserve">Full-year guide is</w:t>
      </w:r>
      <w:r>
        <w:t xml:space="preserve"> </w:t>
      </w:r>
      <w:r>
        <w:rPr>
          <w:b/>
          <w:bCs/>
        </w:rPr>
        <w:t xml:space="preserve">+2.8% to +3.5%</w:t>
      </w:r>
      <w:r>
        <w:t xml:space="preserve">, and management said growth should</w:t>
      </w:r>
      <w:r>
        <w:t xml:space="preserve"> </w:t>
      </w:r>
      <w:r>
        <w:rPr>
          <w:b/>
          <w:bCs/>
        </w:rPr>
        <w:t xml:space="preserve">accelerate every quarter</w:t>
      </w:r>
      <w:r>
        <w:t xml:space="preserve"> </w:t>
      </w:r>
      <w:r>
        <w:t xml:space="preserve">as signed leases commence.</w:t>
      </w:r>
      <w:r>
        <w:t xml:space="preserve"> </w:t>
      </w:r>
      <w:r>
        <w:rPr>
          <w:b/>
          <w:bCs/>
        </w:rPr>
        <w:t xml:space="preserve">Q2 needs to show a visible step-up</w:t>
      </w:r>
      <w:r>
        <w:t xml:space="preserve"> </w:t>
      </w:r>
      <w:r>
        <w:t xml:space="preserve">(roughly high-2s%) to validate the ramp. This is the single most important number in the release.</w:t>
      </w:r>
    </w:p>
    <w:bookmarkEnd w:id="11"/>
    <w:bookmarkStart w:id="12" w:name="X06a3861ca53aab0b45bce389c8a0823021d7776"/>
    <w:p>
      <w:pPr>
        <w:pStyle w:val="Heading3"/>
      </w:pPr>
      <w:r>
        <w:t xml:space="preserve">3. The signed-not-open (SNO) pipeline</w:t>
      </w:r>
    </w:p>
    <w:p>
      <w:pPr>
        <w:pStyle w:val="Compact"/>
        <w:numPr>
          <w:ilvl w:val="0"/>
          <w:numId w:val="1003"/>
        </w:numPr>
      </w:pPr>
      <w:r>
        <w:t xml:space="preserve">Record **</w:t>
      </w:r>
      <m:oMath>
        <m:r>
          <m:t>77</m:t>
        </m:r>
        <m:r>
          <m:t>M</m:t>
        </m:r>
        <m:r>
          <m:t>o</m:t>
        </m:r>
        <m:r>
          <m:t>f</m:t>
        </m:r>
        <m:r>
          <m:t>f</m:t>
        </m:r>
        <m:r>
          <m:t>u</m:t>
        </m:r>
        <m:r>
          <m:t>t</m:t>
        </m:r>
        <m:r>
          <m:t>u</m:t>
        </m:r>
        <m:r>
          <m:t>r</m:t>
        </m:r>
        <m:r>
          <m:t>e</m:t>
        </m:r>
        <m:r>
          <m:t>A</m:t>
        </m:r>
        <m:r>
          <m:t>B</m:t>
        </m:r>
        <m:r>
          <m:t>R</m:t>
        </m:r>
        <m:r>
          <m:rPr>
            <m:sty m:val="p"/>
          </m:rPr>
          <m:t>/</m:t>
        </m:r>
        <m:r>
          <m:t>410</m:t>
        </m:r>
        <m:r>
          <m:t>b</m:t>
        </m:r>
        <m:r>
          <m:t>p</m:t>
        </m:r>
        <m:r>
          <m:t>s</m:t>
        </m:r>
        <m:r>
          <m:rPr>
            <m:sty m:val="p"/>
          </m:rPr>
          <m:t>*</m:t>
        </m:r>
        <m:r>
          <m:rPr>
            <m:sty m:val="p"/>
          </m:rPr>
          <m:t>*</m:t>
        </m:r>
        <m:r>
          <m:t>l</m:t>
        </m:r>
        <m:r>
          <m:t>e</m:t>
        </m:r>
        <m:r>
          <m:t>a</m:t>
        </m:r>
        <m:r>
          <m:t>s</m:t>
        </m:r>
        <m:r>
          <m:t>e</m:t>
        </m:r>
        <m:r>
          <m:t>d</m:t>
        </m:r>
        <m:r>
          <m:rPr>
            <m:sty m:val="p"/>
          </m:rPr>
          <m:t>−</m:t>
        </m:r>
        <m:r>
          <m:t>t</m:t>
        </m:r>
        <m:r>
          <m:t>o</m:t>
        </m:r>
        <m:r>
          <m:rPr>
            <m:sty m:val="p"/>
          </m:rPr>
          <m:t>−</m:t>
        </m:r>
        <m:r>
          <m:t>e</m:t>
        </m:r>
        <m:r>
          <m:t>c</m:t>
        </m:r>
        <m:r>
          <m:t>o</m:t>
        </m:r>
        <m:r>
          <m:t>n</m:t>
        </m:r>
        <m:r>
          <m:t>o</m:t>
        </m:r>
        <m:r>
          <m:t>m</m:t>
        </m:r>
        <m:r>
          <m:t>i</m:t>
        </m:r>
        <m:r>
          <m:t>c</m:t>
        </m:r>
        <m:r>
          <m:t>o</m:t>
        </m:r>
        <m:r>
          <m:t>c</m:t>
        </m:r>
        <m:r>
          <m:t>c</m:t>
        </m:r>
        <m:r>
          <m:t>u</m:t>
        </m:r>
        <m:r>
          <m:t>p</m:t>
        </m:r>
        <m:r>
          <m:t>a</m:t>
        </m:r>
        <m:r>
          <m:t>n</m:t>
        </m:r>
        <m:r>
          <m:t>c</m:t>
        </m:r>
        <m:r>
          <m:t>y</m:t>
        </m:r>
        <m:r>
          <m:t>s</m:t>
        </m:r>
        <m:r>
          <m:t>p</m:t>
        </m:r>
        <m:r>
          <m:t>r</m:t>
        </m:r>
        <m:r>
          <m:t>e</m:t>
        </m:r>
        <m:r>
          <m:t>a</m:t>
        </m:r>
        <m:r>
          <m:t>d</m:t>
        </m:r>
        <m:r>
          <m:t>a</m:t>
        </m:r>
        <m:r>
          <m:t>t</m:t>
        </m:r>
        <m:r>
          <m:t>Q</m:t>
        </m:r>
        <m:r>
          <m:t>1</m:t>
        </m:r>
        <m:r>
          <m:rPr>
            <m:sty m:val="p"/>
          </m:rPr>
          <m:t>.</m:t>
        </m:r>
        <m:r>
          <m:t>O</m:t>
        </m:r>
        <m:r>
          <m:t>f</m:t>
        </m:r>
        <m:r>
          <m:t>t</m:t>
        </m:r>
        <m:r>
          <m:t>h</m:t>
        </m:r>
        <m:r>
          <m:t>e</m:t>
        </m:r>
        <m:r>
          <m:t> </m:t>
        </m:r>
      </m:oMath>
      <w:r>
        <w:t xml:space="preserve">31M of 2026 commencements (raised from</w:t>
      </w:r>
      <w:r>
        <w:t xml:space="preserve"> </w:t>
      </w:r>
      <m:oMath>
        <m:r>
          <m:t>28.5</m:t>
        </m:r>
        <m:r>
          <m:t>M</m:t>
        </m:r>
        <m:r>
          <m:rPr>
            <m:sty m:val="p"/>
          </m:rPr>
          <m:t>)</m:t>
        </m:r>
        <m:r>
          <m:rPr>
            <m:sty m:val="p"/>
          </m:rPr>
          <m:t>,</m:t>
        </m:r>
        <m:r>
          <m:t> </m:t>
        </m:r>
      </m:oMath>
      <w:r>
        <w:t xml:space="preserve">13M hit in Q1 with</w:t>
      </w:r>
      <w:r>
        <w:t xml:space="preserve"> </w:t>
      </w:r>
      <w:r>
        <w:rPr>
          <w:b/>
          <w:bCs/>
        </w:rPr>
        <w:t xml:space="preserve">~$18M weighted to Q2–Q4</w:t>
      </w:r>
      <w:r>
        <w:t xml:space="preserve">.</w:t>
      </w:r>
    </w:p>
    <w:p>
      <w:pPr>
        <w:pStyle w:val="Compact"/>
        <w:numPr>
          <w:ilvl w:val="0"/>
          <w:numId w:val="1003"/>
        </w:numPr>
      </w:pPr>
      <w:r>
        <w:t xml:space="preserve">Two things to track: (a) does the SNO pipeline stay near/above $77M (a sign demand keeps replenishing), and (b) is</w:t>
      </w:r>
      <w:r>
        <w:t xml:space="preserve"> </w:t>
      </w:r>
      <w:r>
        <w:rPr>
          <w:b/>
          <w:bCs/>
        </w:rPr>
        <w:t xml:space="preserve">economic occupancy</w:t>
      </w:r>
      <w:r>
        <w:t xml:space="preserve"> </w:t>
      </w:r>
      <w:r>
        <w:t xml:space="preserve">(92.2% at Q1, vs. 94.5% high-water mark) starting to climb — that conversion is where cash flow actually shows up. Leased occupancy is already near its all-time high (96.3% vs. 96.4%), so the upside now is economic occupancy and rent commencement velocity.</w:t>
      </w:r>
    </w:p>
    <w:bookmarkEnd w:id="12"/>
    <w:bookmarkStart w:id="13" w:name="X884a089608a48f3335b2d1086f0a3d76c95db29"/>
    <w:p>
      <w:pPr>
        <w:pStyle w:val="Heading3"/>
      </w:pPr>
      <w:r>
        <w:t xml:space="preserve">4. Leasing spreads and demand durability</w:t>
      </w:r>
    </w:p>
    <w:p>
      <w:pPr>
        <w:pStyle w:val="Compact"/>
        <w:numPr>
          <w:ilvl w:val="0"/>
          <w:numId w:val="1004"/>
        </w:numPr>
      </w:pPr>
      <w:r>
        <w:t xml:space="preserve">Q1 delivered</w:t>
      </w:r>
      <w:r>
        <w:t xml:space="preserve"> </w:t>
      </w:r>
      <w:r>
        <w:rPr>
          <w:b/>
          <w:bCs/>
        </w:rPr>
        <w:t xml:space="preserve">new-lease spreads of 23.8%, blended 11.3%</w:t>
      </w:r>
      <w:r>
        <w:t xml:space="preserve"> </w:t>
      </w:r>
      <w:r>
        <w:t xml:space="preserve">— a 15-year streak of positive spreads — with record ~$29/sf new-lease rents and small-shop occupancy at 92.5%.</w:t>
      </w:r>
    </w:p>
    <w:p>
      <w:pPr>
        <w:pStyle w:val="Compact"/>
        <w:numPr>
          <w:ilvl w:val="0"/>
          <w:numId w:val="1004"/>
        </w:numPr>
      </w:pPr>
      <w:r>
        <w:t xml:space="preserve">With one broker survey flagging possible market-rent-growth deceleration, listen for any softening in spreads, retention (running &gt;95%), or tenant demand tone. Management pushed back hard on any slowdown last quarter; consistency here matters for the multiple re-rating story.</w:t>
      </w:r>
    </w:p>
    <w:bookmarkEnd w:id="13"/>
    <w:bookmarkStart w:id="14" w:name="Xdc2935e8eae7018e5ba3243edf6bf9b18bcadad"/>
    <w:p>
      <w:pPr>
        <w:pStyle w:val="Heading3"/>
      </w:pPr>
      <w:r>
        <w:t xml:space="preserve">5. Tenant credit</w:t>
      </w:r>
    </w:p>
    <w:p>
      <w:pPr>
        <w:pStyle w:val="Compact"/>
        <w:numPr>
          <w:ilvl w:val="0"/>
          <w:numId w:val="1005"/>
        </w:numPr>
      </w:pPr>
      <w:r>
        <w:t xml:space="preserve">Q1 credit loss was just</w:t>
      </w:r>
      <w:r>
        <w:t xml:space="preserve"> </w:t>
      </w:r>
      <w:r>
        <w:rPr>
          <w:b/>
          <w:bCs/>
        </w:rPr>
        <w:t xml:space="preserve">52 bps</w:t>
      </w:r>
      <w:r>
        <w:t xml:space="preserve">, and full-year guidance was tightened to</w:t>
      </w:r>
      <w:r>
        <w:t xml:space="preserve"> </w:t>
      </w:r>
      <w:r>
        <w:rPr>
          <w:b/>
          <w:bCs/>
        </w:rPr>
        <w:t xml:space="preserve">65–90 bps</w:t>
      </w:r>
      <w:r>
        <w:t xml:space="preserve"> </w:t>
      </w:r>
      <w:r>
        <w:t xml:space="preserve">(from 75–100). Management flagged no meaningful new bankruptcies (only small exposures to Painted Tree and American Signature). Any incremental retailer stress — or a further tightening of the credit-loss assumption — will move the SP-NOI math.</w:t>
      </w:r>
    </w:p>
    <w:bookmarkEnd w:id="14"/>
    <w:bookmarkStart w:id="15" w:name="X51ff7e1bb1f0f73bc8f48a81e835503bfb71c4c"/>
    <w:p>
      <w:pPr>
        <w:pStyle w:val="Heading3"/>
      </w:pPr>
      <w:r>
        <w:t xml:space="preserve">6. Capital allocation / transactions (back-half weighted)</w:t>
      </w:r>
    </w:p>
    <w:p>
      <w:pPr>
        <w:pStyle w:val="Compact"/>
        <w:numPr>
          <w:ilvl w:val="0"/>
          <w:numId w:val="1006"/>
        </w:numPr>
      </w:pPr>
      <w:r>
        <w:t xml:space="preserve">2026 activity was intentionally slow in H1; management reaffirmed</w:t>
      </w:r>
      <w:r>
        <w:t xml:space="preserve"> </w:t>
      </w:r>
      <m:oMath>
        <m:r>
          <m:t>300</m:t>
        </m:r>
        <m:r>
          <m:rPr>
            <m:sty m:val="p"/>
          </m:rPr>
          <m:t>–</m:t>
        </m:r>
        <m:r>
          <m:t>500</m:t>
        </m:r>
        <m:r>
          <m:t>M</m:t>
        </m:r>
        <m:r>
          <m:t>o</m:t>
        </m:r>
        <m:r>
          <m:t>f</m:t>
        </m:r>
        <m:r>
          <m:t>t</m:t>
        </m:r>
        <m:r>
          <m:t>r</m:t>
        </m:r>
        <m:r>
          <m:t>a</m:t>
        </m:r>
        <m:r>
          <m:t>n</m:t>
        </m:r>
        <m:r>
          <m:t>s</m:t>
        </m:r>
        <m:r>
          <m:t>a</m:t>
        </m:r>
        <m:r>
          <m:t>c</m:t>
        </m:r>
        <m:r>
          <m:t>t</m:t>
        </m:r>
        <m:r>
          <m:t>i</m:t>
        </m:r>
        <m:r>
          <m:t>o</m:t>
        </m:r>
        <m:r>
          <m:t>n</m:t>
        </m:r>
        <m:r>
          <m:t>v</m:t>
        </m:r>
        <m:r>
          <m:t>o</m:t>
        </m:r>
        <m:r>
          <m:t>l</m:t>
        </m:r>
        <m:r>
          <m:t>u</m:t>
        </m:r>
        <m:r>
          <m:t>m</m:t>
        </m:r>
        <m:r>
          <m:t>e</m:t>
        </m:r>
        <m:r>
          <m:rPr>
            <m:sty m:val="p"/>
          </m:rPr>
          <m:t>,</m:t>
        </m:r>
        <m:r>
          <m:t>n</m:t>
        </m:r>
        <m:r>
          <m:t>e</m:t>
        </m:r>
        <m:r>
          <m:t>t</m:t>
        </m:r>
        <m:r>
          <m:rPr>
            <m:sty m:val="p"/>
          </m:rPr>
          <m:t>−</m:t>
        </m:r>
        <m:r>
          <m:t>n</m:t>
        </m:r>
        <m:r>
          <m:t>e</m:t>
        </m:r>
        <m:r>
          <m:t>u</m:t>
        </m:r>
        <m:r>
          <m:t>t</m:t>
        </m:r>
        <m:r>
          <m:t>r</m:t>
        </m:r>
        <m:r>
          <m:t>a</m:t>
        </m:r>
        <m:r>
          <m:t>l</m:t>
        </m:r>
        <m:r>
          <m:rPr>
            <m:sty m:val="p"/>
          </m:rPr>
          <m:t>*</m:t>
        </m:r>
        <m:r>
          <m:rPr>
            <m:sty m:val="p"/>
          </m:rPr>
          <m:t>*</m:t>
        </m:r>
        <m:r>
          <m:rPr>
            <m:sty m:val="p"/>
          </m:rPr>
          <m:t>,</m:t>
        </m:r>
        <m:r>
          <m:t>p</m:t>
        </m:r>
        <m:r>
          <m:t>l</m:t>
        </m:r>
        <m:r>
          <m:t>u</m:t>
        </m:r>
        <m:r>
          <m:t>s</m:t>
        </m:r>
        <m:r>
          <m:rPr>
            <m:sty m:val="p"/>
          </m:rPr>
          <m:t>*</m:t>
        </m:r>
        <m:r>
          <m:rPr>
            <m:sty m:val="p"/>
          </m:rPr>
          <m:t>*</m:t>
        </m:r>
      </m:oMath>
      <w:r>
        <w:rPr>
          <w:b/>
          <w:bCs/>
        </w:rPr>
        <w:t xml:space="preserve">75–125M of structured investments</w:t>
      </w:r>
      <w:r>
        <w:t xml:space="preserve"> </w:t>
      </w:r>
      <w:r>
        <w:t xml:space="preserve">(already slightly ahead of plan). Expect the Q2 call to test their confidence in a</w:t>
      </w:r>
      <w:r>
        <w:t xml:space="preserve"> </w:t>
      </w:r>
      <w:r>
        <w:rPr>
          <w:b/>
          <w:bCs/>
        </w:rPr>
        <w:t xml:space="preserve">second-half ramp</w:t>
      </w:r>
      <w:r>
        <w:t xml:space="preserve"> </w:t>
      </w:r>
      <w:r>
        <w:t xml:space="preserve">on acquisitions given a competitive market.</w:t>
      </w:r>
    </w:p>
    <w:p>
      <w:pPr>
        <w:pStyle w:val="Compact"/>
        <w:numPr>
          <w:ilvl w:val="0"/>
          <w:numId w:val="1006"/>
        </w:numPr>
      </w:pPr>
      <w:r>
        <w:t xml:space="preserve">Watch the</w:t>
      </w:r>
      <w:r>
        <w:t xml:space="preserve"> </w:t>
      </w:r>
      <w:r>
        <w:rPr>
          <w:b/>
          <w:bCs/>
        </w:rPr>
        <w:t xml:space="preserve">public-vs-private valuation gap</w:t>
      </w:r>
      <w:r>
        <w:t xml:space="preserve"> </w:t>
      </w:r>
      <w:r>
        <w:t xml:space="preserve">narrative — management repeatedly cited the Ares/Whitestone take-private (~$1.7B), ROIC and Alexander &amp; Baldwin as evidence private capital is paying low-to-mid-5% cap rates for grocery-anchored centers. Continued capital recycling (ground leases, apartments via 1031) into higher-growth centers is the lever they're pulling to close it.</w:t>
      </w:r>
    </w:p>
    <w:bookmarkEnd w:id="15"/>
    <w:bookmarkStart w:id="16" w:name="X984b89983d82bee30e08b7e9235d9a037dcb61a"/>
    <w:p>
      <w:pPr>
        <w:pStyle w:val="Heading3"/>
      </w:pPr>
      <w:r>
        <w:t xml:space="preserve">7. Balance sheet — refinancing box largely checked</w:t>
      </w:r>
    </w:p>
    <w:p>
      <w:pPr>
        <w:pStyle w:val="Compact"/>
        <w:numPr>
          <w:ilvl w:val="0"/>
          <w:numId w:val="1007"/>
        </w:numPr>
      </w:pPr>
      <w:r>
        <w:t xml:space="preserve">Q1 net debt/EBITDA was</w:t>
      </w:r>
      <w:r>
        <w:t xml:space="preserve"> </w:t>
      </w:r>
      <w:r>
        <w:rPr>
          <w:b/>
          <w:bCs/>
        </w:rPr>
        <w:t xml:space="preserve">5.2x (5.5x look-through)</w:t>
      </w:r>
      <w:r>
        <w:t xml:space="preserve"> </w:t>
      </w:r>
      <w:r>
        <w:t xml:space="preserve">— the best on record — with</w:t>
      </w:r>
      <w:r>
        <w:t xml:space="preserve"> </w:t>
      </w:r>
      <w:r>
        <w:rPr>
          <w:b/>
          <w:bCs/>
        </w:rPr>
        <w:t xml:space="preserve">~$2.2B liquidity</w:t>
      </w:r>
      <w:r>
        <w:t xml:space="preserve"> </w:t>
      </w:r>
      <w:r>
        <w:t xml:space="preserve">and an A-/A3 rating.</w:t>
      </w:r>
    </w:p>
    <w:p>
      <w:pPr>
        <w:pStyle w:val="Compact"/>
        <w:numPr>
          <w:ilvl w:val="0"/>
          <w:numId w:val="1007"/>
        </w:numPr>
      </w:pPr>
      <w:r>
        <w:t xml:space="preserve">Importantly, since Q1, KIM addressed its flagged 2026 refinancing headwind by issuing</w:t>
      </w:r>
      <w:r>
        <w:t xml:space="preserve"> </w:t>
      </w:r>
      <m:oMath>
        <m:r>
          <m:t>600</m:t>
        </m:r>
        <m:r>
          <m:t>M</m:t>
        </m:r>
        <m:r>
          <m:t>o</m:t>
        </m:r>
        <m:r>
          <m:t>f</m:t>
        </m:r>
        <m:r>
          <m:t>3.50</m:t>
        </m:r>
      </m:oMath>
      <w:r>
        <w:rPr>
          <w:b/>
          <w:bCs/>
        </w:rPr>
        <w:t xml:space="preserve">32.36/share</w:t>
      </w:r>
      <w:r>
        <w:t xml:space="preserve"> </w:t>
      </w:r>
      <w:r>
        <w:t xml:space="preserve">(~27% conversion premium). It also recast its $2B revolver (SOFR+63.5bps, 2030 maturity) and launched a $750M commercial paper program. Interest-expense guidance and the pace of addressing remaining 2026 maturities are worth a check.</w:t>
      </w:r>
    </w:p>
    <w:p>
      <w:pPr>
        <w:pStyle w:val="Compact"/>
        <w:numPr>
          <w:ilvl w:val="0"/>
          <w:numId w:val="1007"/>
        </w:numPr>
      </w:pPr>
      <w:r>
        <w:t xml:space="preserve">Dividend is</w:t>
      </w:r>
      <w:r>
        <w:t xml:space="preserve"> </w:t>
      </w:r>
      <m:oMath>
        <m:r>
          <m:t>0.26</m:t>
        </m:r>
        <m:r>
          <m:rPr>
            <m:sty m:val="p"/>
          </m:rPr>
          <m:t>/</m:t>
        </m:r>
        <m:r>
          <m:t>q</m:t>
        </m:r>
        <m:r>
          <m:t>u</m:t>
        </m:r>
        <m:r>
          <m:t>a</m:t>
        </m:r>
        <m:r>
          <m:t>r</m:t>
        </m:r>
        <m:r>
          <m:t>t</m:t>
        </m:r>
        <m:r>
          <m:t>e</m:t>
        </m:r>
        <m:r>
          <m:t>r</m:t>
        </m:r>
        <m:r>
          <m:rPr>
            <m:sty m:val="p"/>
          </m:rPr>
          <m:t>(</m:t>
        </m:r>
      </m:oMath>
      <w:r>
        <w:rPr>
          <w:b/>
          <w:bCs/>
        </w:rPr>
        <w:t xml:space="preserve">1.04 annualized, +4% YoY)</w:t>
      </w:r>
      <w:r>
        <w:t xml:space="preserve">; a modest bump isn't expected this quarter but capital-return commentary (including the small opportunistic buybacks done sub-$20 in Q1) is worth noting given the higher share price.</w:t>
      </w:r>
    </w:p>
    <w:bookmarkEnd w:id="16"/>
    <w:bookmarkEnd w:id="17"/>
    <w:bookmarkStart w:id="18" w:name="bottom-line"/>
    <w:p>
      <w:pPr>
        <w:pStyle w:val="Heading2"/>
      </w:pPr>
      <w:r>
        <w:t xml:space="preserve">Bottom line</w:t>
      </w:r>
    </w:p>
    <w:p>
      <w:pPr>
        <w:pStyle w:val="FirstParagraph"/>
      </w:pPr>
      <w:r>
        <w:t xml:space="preserve">This is fundamentally a</w:t>
      </w:r>
      <w:r>
        <w:t xml:space="preserve"> </w:t>
      </w:r>
      <w:r>
        <w:rPr>
          <w:b/>
          <w:bCs/>
        </w:rPr>
        <w:t xml:space="preserve">"show me the acceleration"</w:t>
      </w:r>
      <w:r>
        <w:t xml:space="preserve"> </w:t>
      </w:r>
      <w:r>
        <w:t xml:space="preserve">quarter. The bull case — record SNO pipeline, 15 years of positive spreads, resilient grocery-anchored/necessity tenancy, virtually no new supply, and a fortress balance sheet — is well understood and increasingly priced in after a 27% YTD move. The read-through investors will focus on:</w:t>
      </w:r>
    </w:p>
    <w:p>
      <w:pPr>
        <w:pStyle w:val="Compact"/>
        <w:numPr>
          <w:ilvl w:val="0"/>
          <w:numId w:val="1008"/>
        </w:numPr>
      </w:pPr>
      <w:r>
        <w:rPr>
          <w:b/>
          <w:bCs/>
        </w:rPr>
        <w:t xml:space="preserve">SP-NOI stepping up</w:t>
      </w:r>
      <w:r>
        <w:t xml:space="preserve"> </w:t>
      </w:r>
      <w:r>
        <w:t xml:space="preserve">from the 1.7% Q1 trough,</w:t>
      </w:r>
    </w:p>
    <w:p>
      <w:pPr>
        <w:pStyle w:val="Compact"/>
        <w:numPr>
          <w:ilvl w:val="0"/>
          <w:numId w:val="1008"/>
        </w:numPr>
      </w:pPr>
      <w:r>
        <w:rPr>
          <w:b/>
          <w:bCs/>
        </w:rPr>
        <w:t xml:space="preserve">Economic occupancy converting</w:t>
      </w:r>
      <w:r>
        <w:t xml:space="preserve"> </w:t>
      </w:r>
      <w:r>
        <w:t xml:space="preserve">the 410-bp SNO spread into cash rent, and</w:t>
      </w:r>
    </w:p>
    <w:p>
      <w:pPr>
        <w:pStyle w:val="Compact"/>
        <w:numPr>
          <w:ilvl w:val="0"/>
          <w:numId w:val="1008"/>
        </w:numPr>
      </w:pPr>
      <w:r>
        <w:t xml:space="preserve">Whether management</w:t>
      </w:r>
      <w:r>
        <w:t xml:space="preserve"> </w:t>
      </w:r>
      <w:r>
        <w:rPr>
          <w:b/>
          <w:bCs/>
        </w:rPr>
        <w:t xml:space="preserve">raises FFO toward the top of the</w:t>
      </w:r>
      <w:r>
        <w:rPr>
          <w:b/>
          <w:bCs/>
        </w:rPr>
        <w:t xml:space="preserve"> </w:t>
      </w:r>
      <m:oMath>
        <m:r>
          <m:t>1.81</m:t>
        </m:r>
        <m:r>
          <m:rPr>
            <m:sty m:val="p"/>
          </m:rPr>
          <m:t>–</m:t>
        </m:r>
      </m:oMath>
      <w:r>
        <w:rPr>
          <w:b/>
          <w:bCs/>
        </w:rPr>
        <w:t xml:space="preserve">1.84 range</w:t>
      </w:r>
      <w:r>
        <w:t xml:space="preserve"> </w:t>
      </w:r>
      <w:r>
        <w:t xml:space="preserve">while reaffirming the back-half transaction ramp.</w:t>
      </w:r>
    </w:p>
    <w:p>
      <w:pPr>
        <w:pStyle w:val="FirstParagraph"/>
      </w:pPr>
      <w:r>
        <w:t xml:space="preserve">Risks to the print skew toward: the reversal of Q1's one-time revenue items making headline FFO look soft, any hint of decelerating market rent growth or spreads, and macro/consumer noise (fuel prices, tariffs) that management acknowledged but downplayed. Given the stock is near 2026 highs, in-line results with an unchanged guide may not be enough to satisfy the market.</w:t>
      </w:r>
    </w:p>
    <w:p>
      <w:r>
        <w:pict>
          <v:rect style="width:0;height:1.5pt" o:hralign="center" o:hrstd="t" o:hr="t"/>
        </w:pict>
      </w:r>
    </w:p>
    <w:p>
      <w:pPr>
        <w:pStyle w:val="FirstParagraph"/>
      </w:pPr>
      <w:r>
        <w:rPr>
          <w:i/>
          <w:iCs/>
        </w:rPr>
        <w:t xml:space="preserve">Preview based on Kimco's Q1 2026 earnings release and call (4/30/26), the June 2026 exchangeable-notes 8-K, and market data through 8/3/26. All figures are pro-rata unless noted. Not investment advice.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2026-08-04T00:30:08Z</dcterms:created>
  <dcterms:modified xsi:type="dcterms:W3CDTF">2026-08-04T00:30:08Z</dcterms:modified>
</cp:coreProperties>
</file>

<file path=docProps/custom.xml><?xml version="1.0" encoding="utf-8"?>
<Properties xmlns="http://schemas.openxmlformats.org/officeDocument/2006/custom-properties" xmlns:vt="http://schemas.openxmlformats.org/officeDocument/2006/docPropsVTypes"/>
</file>